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jc w:val="center"/>
        <w:tblBorders>
          <w:top w:val="threeDEmboss" w:sz="18" w:space="0" w:color="FFFFFF" w:themeColor="background1"/>
          <w:left w:val="threeDEmboss" w:sz="18" w:space="0" w:color="FFFFFF" w:themeColor="background1"/>
          <w:bottom w:val="threeDEmboss" w:sz="18" w:space="0" w:color="FFFFFF" w:themeColor="background1"/>
          <w:right w:val="threeDEmboss" w:sz="18" w:space="0" w:color="FFFFFF" w:themeColor="background1"/>
          <w:insideH w:val="threeDEmboss" w:sz="18" w:space="0" w:color="FFFFFF" w:themeColor="background1"/>
          <w:insideV w:val="threeDEmboss" w:sz="18" w:space="0" w:color="FFFFFF" w:themeColor="background1"/>
        </w:tblBorders>
        <w:tblLook w:val="04A0" w:firstRow="1" w:lastRow="0" w:firstColumn="1" w:lastColumn="0" w:noHBand="0" w:noVBand="1"/>
      </w:tblPr>
      <w:tblGrid>
        <w:gridCol w:w="3109"/>
        <w:gridCol w:w="1996"/>
        <w:gridCol w:w="264"/>
        <w:gridCol w:w="3685"/>
      </w:tblGrid>
      <w:tr w:rsidR="007D52DD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2F5496" w:themeFill="accent5" w:themeFillShade="BF"/>
            <w:vAlign w:val="center"/>
          </w:tcPr>
          <w:p w:rsidR="007D52DD" w:rsidRPr="00080CCB" w:rsidRDefault="007D52DD" w:rsidP="001E61E6">
            <w:pPr>
              <w:spacing w:before="240" w:after="240"/>
              <w:jc w:val="center"/>
              <w:rPr>
                <w:rFonts w:asciiTheme="minorHAnsi" w:hAnsiTheme="minorHAnsi" w:cs="Arial"/>
                <w:color w:val="FFFFFF" w:themeColor="background1"/>
                <w:szCs w:val="22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FFFFFF" w:themeColor="background1"/>
                <w:szCs w:val="22"/>
                <w:lang w:val="es-EC"/>
              </w:rPr>
              <w:t>FICHA METODOLÓGICA</w:t>
            </w:r>
          </w:p>
        </w:tc>
      </w:tr>
      <w:tr w:rsidR="001E61E6" w:rsidRPr="00080CCB" w:rsidTr="00C332B3">
        <w:trPr>
          <w:jc w:val="center"/>
        </w:trPr>
        <w:tc>
          <w:tcPr>
            <w:tcW w:w="5315" w:type="dxa"/>
            <w:gridSpan w:val="3"/>
            <w:shd w:val="clear" w:color="auto" w:fill="DBE5F1"/>
            <w:vAlign w:val="center"/>
          </w:tcPr>
          <w:p w:rsidR="007D52DD" w:rsidRPr="00080CCB" w:rsidRDefault="00E05929" w:rsidP="001E61E6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1.</w:t>
            </w:r>
            <w:r w:rsidR="007D52DD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NOMBRE DEL INDICADOR</w:t>
            </w:r>
          </w:p>
        </w:tc>
        <w:tc>
          <w:tcPr>
            <w:tcW w:w="3739" w:type="dxa"/>
            <w:vAlign w:val="center"/>
          </w:tcPr>
          <w:p w:rsidR="007D52DD" w:rsidRPr="00DF7424" w:rsidRDefault="001C1D16" w:rsidP="001C1D16">
            <w:pPr>
              <w:ind w:left="360"/>
              <w:rPr>
                <w:rFonts w:asciiTheme="minorHAnsi" w:hAnsiTheme="minorHAnsi" w:cs="Arial"/>
                <w:b/>
                <w:szCs w:val="22"/>
              </w:rPr>
            </w:pPr>
            <w:r w:rsidRPr="00DF7424">
              <w:rPr>
                <w:rFonts w:asciiTheme="minorHAnsi" w:hAnsiTheme="minorHAnsi" w:cs="Arial"/>
                <w:b/>
                <w:szCs w:val="22"/>
              </w:rPr>
              <w:t xml:space="preserve">I. </w:t>
            </w:r>
            <w:r w:rsidR="00935CAD" w:rsidRPr="00DF7424">
              <w:rPr>
                <w:rFonts w:asciiTheme="minorHAnsi" w:hAnsiTheme="minorHAnsi" w:cs="Arial"/>
                <w:b/>
                <w:szCs w:val="22"/>
              </w:rPr>
              <w:t>Cuenta de Producción</w:t>
            </w: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C1D16" w:rsidRPr="00080CCB" w:rsidRDefault="00E05929" w:rsidP="00935CAD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2</w:t>
            </w:r>
            <w:r w:rsid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. </w:t>
            </w:r>
            <w:r w:rsidR="001C1D16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DEFINICIÓN</w:t>
            </w: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="Calibri" w:hAnsiTheme="minorHAnsi" w:cs="Calibri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 xml:space="preserve">Presenta las operaciones relativas al propio proceso de producción. </w:t>
            </w:r>
          </w:p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="Calibri" w:hAnsiTheme="minorHAnsi" w:cs="Calibri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 xml:space="preserve">Los </w:t>
            </w:r>
            <w:r w:rsidRPr="00080CCB">
              <w:rPr>
                <w:rFonts w:asciiTheme="minorHAnsi" w:eastAsia="Calibri" w:hAnsiTheme="minorHAnsi" w:cs="Calibri"/>
                <w:b/>
                <w:szCs w:val="22"/>
                <w:lang w:val="es-EC"/>
              </w:rPr>
              <w:t>recursos</w:t>
            </w: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 xml:space="preserve"> incluyen la producción y los </w:t>
            </w:r>
            <w:r w:rsidRPr="00080CCB">
              <w:rPr>
                <w:rFonts w:asciiTheme="minorHAnsi" w:eastAsia="Calibri" w:hAnsiTheme="minorHAnsi" w:cs="Calibri"/>
                <w:b/>
                <w:szCs w:val="22"/>
                <w:lang w:val="es-EC"/>
              </w:rPr>
              <w:t xml:space="preserve">empleos </w:t>
            </w: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>los consumos intermedios o los bienes necesarios para su realización.</w:t>
            </w:r>
          </w:p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="Calibri" w:hAnsiTheme="minorHAnsi" w:cs="Calibri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>Se elabora  para los sectores institucionales y para las industrias, permite el cálculo del valor agregado, es decir la contribución de las unidades  dedicadas a la actividad productiva al crecimiento y evolución de la economía.</w:t>
            </w:r>
          </w:p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>Para el total de la economía la cuenta de producción incluye en los recursos, además de la producción de bienes y servicios, los impuestos menos las subvenciones sobre los productos, lo que permite obtener el producto interno bruto como un saldo contable</w:t>
            </w:r>
          </w:p>
        </w:tc>
      </w:tr>
      <w:tr w:rsidR="009C0A4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C0A42" w:rsidRPr="00080CCB" w:rsidRDefault="00E05929" w:rsidP="00935CAD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3</w:t>
            </w:r>
            <w:r w:rsid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. </w:t>
            </w:r>
            <w:r w:rsidR="009C0A42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ESTRUCTURA DE LA CUENTA</w:t>
            </w:r>
          </w:p>
        </w:tc>
      </w:tr>
      <w:tr w:rsidR="009C0A42" w:rsidRPr="00080CCB" w:rsidTr="00317A7D">
        <w:trPr>
          <w:trHeight w:val="1893"/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tbl>
            <w:tblPr>
              <w:tblW w:w="883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11"/>
              <w:gridCol w:w="2280"/>
              <w:gridCol w:w="1504"/>
              <w:gridCol w:w="467"/>
              <w:gridCol w:w="3120"/>
              <w:gridCol w:w="856"/>
            </w:tblGrid>
            <w:tr w:rsidR="00B654D5" w:rsidRPr="00B654D5" w:rsidTr="00B654D5">
              <w:trPr>
                <w:trHeight w:val="300"/>
              </w:trPr>
              <w:tc>
                <w:tcPr>
                  <w:tcW w:w="883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I. Cuenta de producción</w:t>
                  </w:r>
                </w:p>
              </w:tc>
            </w:tr>
            <w:tr w:rsidR="00B654D5" w:rsidRPr="00B654D5" w:rsidTr="00B654D5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 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Empleos</w:t>
                  </w:r>
                </w:p>
              </w:tc>
              <w:tc>
                <w:tcPr>
                  <w:tcW w:w="197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Total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2C3797" w:rsidP="002C3797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              </w:t>
                  </w:r>
                  <w:r w:rsidR="00B654D5"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Recursos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Total</w:t>
                  </w:r>
                </w:p>
              </w:tc>
            </w:tr>
            <w:tr w:rsidR="00B654D5" w:rsidRPr="00B654D5" w:rsidTr="00B654D5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Consumo intermedio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120.725</w:t>
                  </w:r>
                </w:p>
              </w:tc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P.1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Producción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454.039</w:t>
                  </w:r>
                </w:p>
              </w:tc>
            </w:tr>
            <w:tr w:rsidR="00B654D5" w:rsidRPr="00B654D5" w:rsidTr="00B654D5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B.1b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Valor agregado bruto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333.314</w:t>
                  </w:r>
                </w:p>
              </w:tc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P.11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Producción de mercado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6.164</w:t>
                  </w:r>
                </w:p>
              </w:tc>
            </w:tr>
            <w:tr w:rsidR="00B654D5" w:rsidRPr="00B654D5" w:rsidTr="00B654D5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P.51c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Consumo de capital fijo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58.541</w:t>
                  </w:r>
                </w:p>
              </w:tc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P.12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Producción para uso final propio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</w:p>
              </w:tc>
            </w:tr>
            <w:tr w:rsidR="00B654D5" w:rsidRPr="00B654D5" w:rsidTr="00B654D5">
              <w:trPr>
                <w:trHeight w:val="300"/>
              </w:trPr>
              <w:tc>
                <w:tcPr>
                  <w:tcW w:w="6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B.1n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Valor agregado neto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274.773</w:t>
                  </w:r>
                </w:p>
              </w:tc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P.13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 producción no de mercado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54D5" w:rsidRPr="00B654D5" w:rsidRDefault="00B654D5" w:rsidP="00B654D5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654D5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447.875</w:t>
                  </w:r>
                </w:p>
              </w:tc>
            </w:tr>
          </w:tbl>
          <w:p w:rsidR="000A5B0A" w:rsidRPr="00080CCB" w:rsidRDefault="000A5B0A" w:rsidP="000A5B0A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</w:rPr>
            </w:pPr>
          </w:p>
        </w:tc>
      </w:tr>
      <w:tr w:rsidR="00935CAD" w:rsidRPr="00080CCB" w:rsidTr="00317A7D">
        <w:trPr>
          <w:trHeight w:val="489"/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35CAD" w:rsidRPr="00080CCB" w:rsidRDefault="00E05929" w:rsidP="00935CAD">
            <w:pPr>
              <w:spacing w:before="120" w:after="12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4</w:t>
            </w:r>
            <w:r w:rsid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. </w:t>
            </w:r>
            <w:r w:rsidR="00935CAD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FÓRMULA DE CÁLCULO</w:t>
            </w:r>
          </w:p>
        </w:tc>
      </w:tr>
      <w:tr w:rsidR="007D1F9A" w:rsidRPr="00080CCB" w:rsidTr="009C7C04">
        <w:trPr>
          <w:trHeight w:val="327"/>
          <w:jc w:val="center"/>
        </w:trPr>
        <w:tc>
          <w:tcPr>
            <w:tcW w:w="9054" w:type="dxa"/>
            <w:gridSpan w:val="4"/>
            <w:shd w:val="clear" w:color="auto" w:fill="DEEAF6" w:themeFill="accent1" w:themeFillTint="33"/>
            <w:vAlign w:val="center"/>
          </w:tcPr>
          <w:p w:rsidR="007D1F9A" w:rsidRPr="00633AF0" w:rsidRDefault="007D1F9A" w:rsidP="007D1F9A">
            <w:pPr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</w:pPr>
            <w:r w:rsidRPr="00633AF0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  <w:t>RECURSOS</w:t>
            </w:r>
          </w:p>
        </w:tc>
      </w:tr>
      <w:tr w:rsidR="00EB3D0B" w:rsidRPr="00080CCB" w:rsidTr="009C7C04">
        <w:trPr>
          <w:jc w:val="center"/>
        </w:trPr>
        <w:tc>
          <w:tcPr>
            <w:tcW w:w="9054" w:type="dxa"/>
            <w:gridSpan w:val="4"/>
            <w:shd w:val="clear" w:color="auto" w:fill="DEEAF6" w:themeFill="accent1" w:themeFillTint="33"/>
            <w:vAlign w:val="center"/>
          </w:tcPr>
          <w:p w:rsidR="00EB3D0B" w:rsidRDefault="00EB3D0B" w:rsidP="00EB3D0B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EB3D0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P.1</w:t>
            </w:r>
            <w:r w:rsidRPr="00EB3D0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ab/>
              <w:t>Producción</w:t>
            </w:r>
          </w:p>
        </w:tc>
      </w:tr>
      <w:tr w:rsidR="00EB3D0B" w:rsidRPr="00080CCB" w:rsidTr="00EB3D0B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4D5D30" w:rsidRPr="00997EC0" w:rsidRDefault="004D5D30" w:rsidP="004D5D30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=P.2+P.51c+D.1+D.29</m:t>
                </m:r>
              </m:oMath>
            </m:oMathPara>
          </w:p>
          <w:p w:rsidR="004D5D30" w:rsidRDefault="004D5D30" w:rsidP="004D5D30">
            <w:pPr>
              <w:spacing w:before="120" w:after="120"/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  <w:t>Dónde:</w:t>
            </w:r>
          </w:p>
          <w:p w:rsidR="004D5D30" w:rsidRPr="009A4BD3" w:rsidRDefault="004D5D30" w:rsidP="004D5D30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 w:rsidRPr="009A4BD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P.1      =  </w:t>
            </w:r>
            <w:r w:rsidR="00FD16F9" w:rsidRPr="009A4BD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</w:t>
            </w:r>
            <w:r w:rsidR="00FB2AD6" w:rsidRPr="009A4BD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Producción</w:t>
            </w:r>
          </w:p>
          <w:p w:rsidR="00FB2AD6" w:rsidRPr="00FC2143" w:rsidRDefault="00FB2AD6" w:rsidP="004D5D30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 w:rsidRPr="009A4BD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P.2      =   Consumo intermedio</w:t>
            </w:r>
          </w:p>
          <w:p w:rsidR="004D5D30" w:rsidRPr="00FC2143" w:rsidRDefault="00FD16F9" w:rsidP="004D5D30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P.51c</w:t>
            </w:r>
            <w:r w:rsidR="00556EEC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</w:t>
            </w:r>
            <w:r w:rsidR="004D5D30"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= 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Consumo de capital fijo</w:t>
            </w:r>
          </w:p>
          <w:p w:rsidR="00317A7D" w:rsidRDefault="00FD16F9" w:rsidP="004D5D30">
            <w:pPr>
              <w:spacing w:before="120" w:after="120"/>
              <w:ind w:left="142" w:hanging="142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lastRenderedPageBreak/>
              <w:t>D.1</w:t>
            </w:r>
            <w:r w:rsidR="004D5D30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</w:t>
            </w:r>
            <w:r w:rsidR="00556EEC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</w:t>
            </w:r>
            <w:r w:rsidR="004D5D30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=     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Remuneración de los empleados</w:t>
            </w:r>
          </w:p>
          <w:p w:rsidR="004D5D30" w:rsidRPr="00EB3D0B" w:rsidRDefault="00556EEC" w:rsidP="004D5D30">
            <w:pPr>
              <w:spacing w:before="120" w:after="120"/>
              <w:ind w:left="142" w:hanging="142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D.29</w:t>
            </w:r>
            <w:r w:rsidR="009A4BD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 </w:t>
            </w:r>
            <w:r w:rsidR="004D5D30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=      </w:t>
            </w:r>
            <w:r w:rsidRPr="00556EEC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Otros impuestos sobre la producción</w:t>
            </w:r>
          </w:p>
        </w:tc>
      </w:tr>
      <w:tr w:rsidR="00994BB6" w:rsidRPr="00536CE6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94BB6" w:rsidRPr="00EB3D0B" w:rsidRDefault="00994BB6" w:rsidP="00EB3D0B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</w:pPr>
            <w:r w:rsidRPr="00EB3D0B"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  <w:lastRenderedPageBreak/>
              <w:t>P.11</w:t>
            </w:r>
            <w:r w:rsidRPr="00EB3D0B"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  <w:tab/>
              <w:t>Producción de mercado</w:t>
            </w:r>
            <w:r w:rsidR="00536CE6" w:rsidRPr="00EB3D0B"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  <w:t xml:space="preserve"> </w:t>
            </w:r>
          </w:p>
        </w:tc>
      </w:tr>
      <w:tr w:rsidR="00935CAD" w:rsidRPr="00080CCB" w:rsidTr="00C332B3">
        <w:trPr>
          <w:jc w:val="center"/>
        </w:trPr>
        <w:tc>
          <w:tcPr>
            <w:tcW w:w="9054" w:type="dxa"/>
            <w:gridSpan w:val="4"/>
            <w:vAlign w:val="center"/>
          </w:tcPr>
          <w:p w:rsidR="00E946C1" w:rsidRPr="00080CCB" w:rsidRDefault="00E946C1" w:rsidP="0080228D">
            <w:pPr>
              <w:rPr>
                <w:rFonts w:asciiTheme="minorHAnsi" w:hAnsiTheme="minorHAnsi"/>
                <w:szCs w:val="22"/>
                <w:lang w:val="es-PE"/>
              </w:rPr>
            </w:pPr>
          </w:p>
          <w:p w:rsidR="00935CAD" w:rsidRPr="00115E80" w:rsidRDefault="00DE0BFA" w:rsidP="00890DD1">
            <w:pPr>
              <w:rPr>
                <w:rFonts w:asciiTheme="minorHAnsi" w:hAnsiTheme="minorHAnsi" w:cs="Arial"/>
                <w:szCs w:val="22"/>
                <w:lang w:val="es-PE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Cs w:val="22"/>
                    <w:lang w:val="es-PE"/>
                  </w:rPr>
                  <m:t>P.11=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  <w:szCs w:val="22"/>
                        <w:lang w:val="es-PE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Arial"/>
                        <w:szCs w:val="22"/>
                        <w:lang w:val="es-PE"/>
                      </w:rPr>
                      <m:t>Partidas presupuestarias de la base de ingresos correspondientes a P.11</m:t>
                    </m:r>
                  </m:e>
                </m:nary>
              </m:oMath>
            </m:oMathPara>
          </w:p>
          <w:p w:rsidR="00115E80" w:rsidRPr="00DE0BFA" w:rsidRDefault="00115E80" w:rsidP="00890DD1">
            <w:pPr>
              <w:rPr>
                <w:rFonts w:asciiTheme="minorHAnsi" w:hAnsiTheme="minorHAnsi" w:cs="Arial"/>
                <w:szCs w:val="22"/>
                <w:lang w:val="es-PE"/>
              </w:rPr>
            </w:pPr>
          </w:p>
        </w:tc>
      </w:tr>
      <w:tr w:rsidR="003C2F4C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3C2F4C" w:rsidRPr="00080CCB" w:rsidRDefault="003C2F4C" w:rsidP="003C2F4C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P.12 Producción para uso final propio</w:t>
            </w:r>
          </w:p>
        </w:tc>
      </w:tr>
      <w:tr w:rsidR="003C2F4C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3C2F4C" w:rsidRPr="00080CCB" w:rsidRDefault="003C4A15" w:rsidP="00FD3EDC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No aplica</w:t>
            </w:r>
          </w:p>
        </w:tc>
      </w:tr>
      <w:tr w:rsidR="00935CAD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35CAD" w:rsidRPr="00080CCB" w:rsidRDefault="00080CCB" w:rsidP="00080CCB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szCs w:val="22"/>
              </w:rPr>
              <w:t>P.13</w:t>
            </w:r>
            <w:r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>Otra producción no de mercado</w:t>
            </w: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3C2F4C" w:rsidRPr="00997EC0" w:rsidRDefault="00E16CDD" w:rsidP="003220F3">
            <w:pPr>
              <w:spacing w:before="120" w:after="120"/>
              <w:jc w:val="center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/>
                <w:bCs/>
                <w:noProof/>
                <w:color w:val="000000"/>
                <w:szCs w:val="22"/>
                <w:lang w:val="es-EC" w:eastAsia="es-EC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27" type="#_x0000_t87" style="position:absolute;left:0;text-align:left;margin-left:273pt;margin-top:8.55pt;width:9pt;height:28.1pt;rotation:270;z-index:251659264;mso-position-horizontal-relative:text;mso-position-vertical-relative:text"/>
              </w:pict>
            </w:r>
            <w:r>
              <w:rPr>
                <w:rFonts w:asciiTheme="minorHAnsi" w:eastAsiaTheme="minorEastAsia" w:hAnsiTheme="minorHAnsi" w:cs="Arial"/>
                <w:b/>
                <w:bCs/>
                <w:noProof/>
                <w:color w:val="000000"/>
                <w:szCs w:val="22"/>
                <w:lang w:val="es-EC" w:eastAsia="es-EC"/>
              </w:rPr>
              <w:pict>
                <v:shape id="_x0000_s1026" type="#_x0000_t87" style="position:absolute;left:0;text-align:left;margin-left:194.05pt;margin-top:-26.05pt;width:9pt;height:103.65pt;rotation:270;z-index:251658240;mso-position-horizontal-relative:text;mso-position-vertical-relative:text"/>
              </w:pict>
            </w:r>
            <m:oMath>
              <m:r>
                <m:rPr>
                  <m:sty m:val="bi"/>
                </m:rPr>
                <w:rPr>
                  <w:rFonts w:ascii="Cambria Math" w:eastAsiaTheme="minorHAnsi" w:hAnsi="Cambria Math" w:cs="Arial"/>
                  <w:color w:val="000000"/>
                  <w:szCs w:val="22"/>
                </w:rPr>
                <m:t>P.13</m:t>
              </m:r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Arial"/>
                      <w:i/>
                      <w:color w:val="000000"/>
                      <w:szCs w:val="22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HAnsi" w:hAnsi="Cambria Math" w:cs="Arial"/>
                          <w:i/>
                          <w:color w:val="00000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Theme="minorHAnsi" w:hAnsi="Cambria Math" w:cs="Arial"/>
                          <w:color w:val="000000"/>
                          <w:szCs w:val="22"/>
                        </w:rPr>
                        <m:t>P.2+D.1+D.29</m:t>
                      </m:r>
                    </m:e>
                  </m:d>
                  <m:r>
                    <w:rPr>
                      <w:rFonts w:ascii="Cambria Math" w:eastAsiaTheme="minorHAnsi" w:hAnsi="Cambria Math" w:cs="Arial"/>
                      <w:color w:val="000000"/>
                      <w:szCs w:val="22"/>
                    </w:rPr>
                    <m:t>-P.11</m:t>
                  </m:r>
                </m:e>
              </m:d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+P.51c</m:t>
              </m:r>
            </m:oMath>
          </w:p>
          <w:p w:rsidR="003220F3" w:rsidRPr="003220F3" w:rsidRDefault="003220F3" w:rsidP="003220F3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                                                          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 w:val="18"/>
                <w:szCs w:val="22"/>
              </w:rPr>
              <w:t>variables empleos    variables recursos</w:t>
            </w:r>
          </w:p>
          <w:p w:rsidR="00FC2143" w:rsidRDefault="00FC2143" w:rsidP="00FC2143">
            <w:pPr>
              <w:spacing w:before="120" w:after="120"/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  <w:t>Dónde:</w:t>
            </w:r>
          </w:p>
          <w:p w:rsidR="00FC2143" w:rsidRPr="00FC2143" w:rsidRDefault="00FC2143" w:rsidP="00FC2143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P.13    =    Otra producción no de mercado</w:t>
            </w:r>
          </w:p>
          <w:p w:rsidR="00FC2143" w:rsidRPr="00FC2143" w:rsidRDefault="00FC2143" w:rsidP="00FC2143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P.</w:t>
            </w:r>
            <w:r w:rsidR="003220F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2</w:t>
            </w: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   =    </w:t>
            </w:r>
            <w:r w:rsidR="003220F3" w:rsidRPr="003220F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Consumo intermedio</w:t>
            </w:r>
          </w:p>
          <w:p w:rsidR="00405474" w:rsidRDefault="003220F3" w:rsidP="00115E80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D</w:t>
            </w:r>
            <w:r w:rsidR="00FC2143"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.1</w:t>
            </w:r>
            <w:r w:rsidR="001E05FF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</w:t>
            </w:r>
            <w:r w:rsidR="00FC2143"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=    </w:t>
            </w:r>
            <w:r w:rsidR="001E05FF" w:rsidRPr="001E05FF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Remuneración de los empleados</w:t>
            </w:r>
          </w:p>
          <w:p w:rsidR="003220F3" w:rsidRDefault="003220F3" w:rsidP="00115E80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D.29   =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Otros impuestos sobre la producción</w:t>
            </w:r>
          </w:p>
          <w:p w:rsidR="003220F3" w:rsidRDefault="003220F3" w:rsidP="00115E80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P.11   =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Producción de mercado</w:t>
            </w:r>
          </w:p>
          <w:p w:rsidR="003220F3" w:rsidRPr="00F63BC4" w:rsidRDefault="003220F3" w:rsidP="003220F3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P.51c =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Consumo de capital fijo</w:t>
            </w:r>
          </w:p>
        </w:tc>
      </w:tr>
      <w:tr w:rsidR="00482714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482714" w:rsidRPr="009C7C04" w:rsidRDefault="007D1F9A" w:rsidP="00482714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</w:pPr>
            <w:r w:rsidRPr="009C7C04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  <w:t>EMPLEOS</w:t>
            </w:r>
          </w:p>
        </w:tc>
      </w:tr>
      <w:tr w:rsidR="007D1F9A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D1F9A" w:rsidRPr="00080CCB" w:rsidRDefault="007D1F9A" w:rsidP="002D1E3C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P.2 Consumo </w:t>
            </w:r>
            <w:r w:rsidR="002D1E3C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i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ntermedio</w:t>
            </w:r>
          </w:p>
        </w:tc>
      </w:tr>
      <w:tr w:rsidR="00792D00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FC2143" w:rsidRPr="00080CCB" w:rsidRDefault="00FC2143" w:rsidP="00FC2143">
            <w:pPr>
              <w:rPr>
                <w:rFonts w:asciiTheme="minorHAnsi" w:hAnsiTheme="minorHAnsi"/>
                <w:szCs w:val="22"/>
                <w:lang w:val="es-PE"/>
              </w:rPr>
            </w:pPr>
          </w:p>
          <w:p w:rsidR="001E61E6" w:rsidRPr="00BB08D7" w:rsidRDefault="00FC2143" w:rsidP="00FC2143">
            <w:pPr>
              <w:spacing w:after="160" w:line="252" w:lineRule="auto"/>
              <w:contextualSpacing/>
              <w:jc w:val="both"/>
              <w:rPr>
                <w:rFonts w:asciiTheme="minorHAnsi" w:hAnsiTheme="minorHAnsi" w:cs="Tahoma"/>
                <w:szCs w:val="22"/>
                <w:lang w:val="es-PE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  <w:lang w:val="es-PE"/>
                  </w:rPr>
                  <m:t>P.2=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  <w:szCs w:val="22"/>
                        <w:lang w:val="es-PE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Arial"/>
                        <w:szCs w:val="22"/>
                        <w:lang w:val="es-PE"/>
                      </w:rPr>
                      <m:t>Partidas presupuestarias de la base de gastos correspondientes a P.2</m:t>
                    </m:r>
                  </m:e>
                </m:nary>
              </m:oMath>
            </m:oMathPara>
          </w:p>
          <w:p w:rsidR="00BB08D7" w:rsidRPr="00FC2143" w:rsidRDefault="00BB08D7" w:rsidP="00FC2143">
            <w:pPr>
              <w:spacing w:after="160" w:line="252" w:lineRule="auto"/>
              <w:contextualSpacing/>
              <w:jc w:val="both"/>
              <w:rPr>
                <w:rFonts w:asciiTheme="minorHAnsi" w:hAnsiTheme="minorHAnsi" w:cs="Tahoma"/>
                <w:szCs w:val="22"/>
              </w:rPr>
            </w:pP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C1D16" w:rsidRPr="00080CCB" w:rsidRDefault="001E61E6" w:rsidP="001E61E6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hAnsiTheme="minorHAnsi"/>
                <w:b/>
                <w:bCs/>
                <w:color w:val="000000"/>
                <w:szCs w:val="22"/>
                <w:lang w:eastAsia="es-ES"/>
              </w:rPr>
              <w:t>B.1b</w:t>
            </w:r>
            <w:r w:rsidRPr="00080CCB">
              <w:rPr>
                <w:rFonts w:asciiTheme="minorHAnsi" w:hAnsiTheme="minorHAnsi"/>
                <w:b/>
                <w:bCs/>
                <w:color w:val="000000"/>
                <w:szCs w:val="22"/>
                <w:lang w:eastAsia="es-ES"/>
              </w:rPr>
              <w:tab/>
              <w:t>Valor agregado bruto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FC2143" w:rsidRPr="00080CCB" w:rsidRDefault="00997EC0" w:rsidP="00FD3EDC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VAB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=P.1-Ci</m:t>
                </m:r>
              </m:oMath>
            </m:oMathPara>
          </w:p>
          <w:p w:rsidR="00235796" w:rsidRDefault="00FC2143" w:rsidP="00997EC0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</w:t>
            </w:r>
          </w:p>
          <w:p w:rsidR="00FC2143" w:rsidRPr="00997EC0" w:rsidRDefault="00FC2143" w:rsidP="00997EC0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lastRenderedPageBreak/>
              <w:t xml:space="preserve"> </w:t>
            </w:r>
            <w:r w:rsidRPr="00997EC0"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  <w:t>Dónde:</w:t>
            </w:r>
          </w:p>
          <w:p w:rsidR="00997EC0" w:rsidRDefault="00997EC0" w:rsidP="00FC2143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VAB = Valor Agregado Bruto</w:t>
            </w:r>
          </w:p>
          <w:p w:rsidR="001E61E6" w:rsidRDefault="004713AB" w:rsidP="00FC2143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P.1</w:t>
            </w:r>
            <w:r w:rsidR="00FC2143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= </w:t>
            </w: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Producción </w:t>
            </w:r>
          </w:p>
          <w:p w:rsidR="009329F8" w:rsidRPr="009329F8" w:rsidRDefault="00FC2143" w:rsidP="00115E80">
            <w:pPr>
              <w:widowControl w:val="0"/>
              <w:autoSpaceDE w:val="0"/>
              <w:autoSpaceDN w:val="0"/>
              <w:adjustRightInd w:val="0"/>
              <w:spacing w:before="22" w:after="120" w:line="276" w:lineRule="auto"/>
              <w:ind w:right="68"/>
              <w:rPr>
                <w:rFonts w:asciiTheme="minorHAnsi" w:hAnsiTheme="minorHAnsi" w:cs="Tahoma"/>
                <w:iCs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Ci = </w:t>
            </w:r>
            <w:r w:rsidR="00FD3EDC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</w:t>
            </w:r>
            <w:r w:rsidR="001E61E6"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Consumo intermedio     </w:t>
            </w:r>
            <w:r w:rsidR="001E61E6"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ab/>
            </w:r>
            <w:r w:rsidR="001E61E6"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ab/>
            </w:r>
            <w:r w:rsidR="0020674E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    </w:t>
            </w:r>
            <w:r w:rsidR="00FD3EDC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</w:t>
            </w:r>
            <w:r w:rsidR="0020674E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 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E61E6" w:rsidRPr="00080CCB" w:rsidRDefault="007B36A2" w:rsidP="001E61E6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lastRenderedPageBreak/>
              <w:t>P.51c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ab/>
              <w:t>Consumo de capital fijo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7B36A2" w:rsidRPr="009329F8" w:rsidRDefault="007B36A2" w:rsidP="0020674E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68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La metodología de cálculo para esta variable se la encuentra en la ficha metodológica de Consumo de capital fijo.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E61E6" w:rsidRPr="00080CCB" w:rsidRDefault="007D1F9A" w:rsidP="005E3C40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B.1n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ab/>
              <w:t>Valor agregado neto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DF66C2" w:rsidRPr="00080CCB" w:rsidRDefault="00997EC0" w:rsidP="00DF66C2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=VAB-CCF</m:t>
                </m:r>
              </m:oMath>
            </m:oMathPara>
          </w:p>
          <w:p w:rsidR="00DF66C2" w:rsidRDefault="00DF66C2" w:rsidP="00DF66C2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</w:pPr>
            <w:r w:rsidRPr="00DF66C2"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  <w:t>Dónde:</w:t>
            </w:r>
          </w:p>
          <w:p w:rsidR="00997EC0" w:rsidRPr="00DF66C2" w:rsidRDefault="00997EC0" w:rsidP="00DF66C2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</w:pPr>
          </w:p>
          <w:p w:rsidR="00DF66C2" w:rsidRDefault="00DF66C2" w:rsidP="00DF66C2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VAN= Valor Agregado Neto</w:t>
            </w:r>
          </w:p>
          <w:p w:rsidR="00DF66C2" w:rsidRDefault="00DF66C2" w:rsidP="00DF66C2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VAB = Valor Agregado Bruto</w:t>
            </w:r>
          </w:p>
          <w:p w:rsidR="007B36A2" w:rsidRPr="00115E80" w:rsidRDefault="00DF66C2" w:rsidP="00115E80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CCF =  Consumo de Capital Fijo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5.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DEFINICIÓN DE LAS VARIABLES RELACIONADAS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vAlign w:val="center"/>
          </w:tcPr>
          <w:p w:rsidR="007B36A2" w:rsidRPr="00FD3EDC" w:rsidRDefault="007B36A2" w:rsidP="00FD3EDC">
            <w:pPr>
              <w:spacing w:before="120"/>
              <w:jc w:val="center"/>
              <w:rPr>
                <w:rFonts w:asciiTheme="minorHAnsi" w:hAnsiTheme="minorHAnsi" w:cs="Arial"/>
                <w:sz w:val="4"/>
                <w:szCs w:val="22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46"/>
              <w:gridCol w:w="1490"/>
              <w:gridCol w:w="6492"/>
            </w:tblGrid>
            <w:tr w:rsidR="007B36A2" w:rsidRPr="00080CCB" w:rsidTr="00907CCA">
              <w:trPr>
                <w:trHeight w:hRule="exact" w:val="935"/>
                <w:tblHeader/>
              </w:trPr>
              <w:tc>
                <w:tcPr>
                  <w:tcW w:w="479" w:type="pct"/>
                  <w:shd w:val="clear" w:color="auto" w:fill="DEEAF6" w:themeFill="accent1" w:themeFillTint="33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Código SCN 2008</w:t>
                  </w:r>
                </w:p>
              </w:tc>
              <w:tc>
                <w:tcPr>
                  <w:tcW w:w="844" w:type="pct"/>
                  <w:shd w:val="clear" w:color="auto" w:fill="DEEAF6" w:themeFill="accent1" w:themeFillTint="33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 xml:space="preserve"> Transacción</w:t>
                  </w:r>
                </w:p>
              </w:tc>
              <w:tc>
                <w:tcPr>
                  <w:tcW w:w="3677" w:type="pct"/>
                  <w:shd w:val="clear" w:color="auto" w:fill="DEEAF6" w:themeFill="accent1" w:themeFillTint="33"/>
                  <w:vAlign w:val="center"/>
                </w:tcPr>
                <w:p w:rsidR="007B36A2" w:rsidRPr="00080CCB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Descripción</w:t>
                  </w:r>
                </w:p>
              </w:tc>
            </w:tr>
            <w:tr w:rsidR="007B36A2" w:rsidRPr="00080CCB" w:rsidTr="00234BF0">
              <w:trPr>
                <w:trHeight w:val="1000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 1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b/>
                      <w:color w:val="FF0000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Es la actividad realizada bajo el control y la responsabilidad de una unidad institucional que utiliza mano de obra, insumos de bienes y servicios y capital para obtener otros bienes y servicios.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 11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 de mercado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7B36A2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Es aquella que es vendida o que se piensa destinar a su venta en el mercado a precios económicamente significativos y que permitan cubrir sus costos de producción y obtener una ganancia. Es típica de las Sociedades y de los Hogares.</w:t>
                  </w:r>
                </w:p>
              </w:tc>
            </w:tr>
            <w:tr w:rsidR="007B36A2" w:rsidRPr="00080CCB" w:rsidTr="004D09C9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9329F8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9329F8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P.12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9329F8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9329F8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 para uso final propio</w:t>
                  </w:r>
                </w:p>
              </w:tc>
              <w:tc>
                <w:tcPr>
                  <w:tcW w:w="3677" w:type="pct"/>
                  <w:shd w:val="clear" w:color="auto" w:fill="auto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7B36A2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Comprende los productos retenidos por el productor para su propio uso en consumo final o formación de capital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lastRenderedPageBreak/>
                    <w:t>P. 13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 no de mercado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Consiste en los bienes y servicios colectivos o individuales producidos por el Gobierno General o por las ISFLSH y que se suministran a la sociedad en su conjunto o a grupos determinados de hogares gratuitamente o a precios económicamente no significativos.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P.2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Consumo intermedio</w:t>
                  </w:r>
                  <w:r w:rsidRPr="00080CCB">
                    <w:rPr>
                      <w:rFonts w:asciiTheme="minorHAnsi" w:hAnsiTheme="minorHAnsi" w:cs="Calibri"/>
                      <w:b/>
                      <w:color w:val="FF0000"/>
                      <w:sz w:val="22"/>
                      <w:szCs w:val="22"/>
                      <w:lang w:val="es-EC"/>
                    </w:rPr>
                    <w:t xml:space="preserve"> 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El consumo intermedio es el valor de los bienes y servicios utilizados por las unidades productivas como materias primas e insumos durante un proceso de producción, con el fin de generar nuevos bienes y servicios. Los bienes o servicios considerados consumo intermedio deben transformarse, consumirse o incorporarse a otros bienes y servicios en el proceso productivo.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B.1</w:t>
                  </w:r>
                  <w:r w:rsidR="009C7C04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b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Valor Agregado Bruto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/>
                      <w:szCs w:val="22"/>
                    </w:rPr>
                  </w:pPr>
                  <w:r w:rsidRPr="00080CCB">
                    <w:rPr>
                      <w:rFonts w:asciiTheme="minorHAnsi" w:hAnsiTheme="minorHAnsi"/>
                      <w:sz w:val="22"/>
                      <w:szCs w:val="22"/>
                    </w:rPr>
                    <w:t>Se define como la producción valorada a precios básicos menos el consumo intermedio valorado a precios de comprador. Desde el punto de vista del productor, los precios de comprador para los insumos y los precios básicos para los productos representan los precios realmente pagados y recibidos</w:t>
                  </w:r>
                  <w:r w:rsidR="00FA0838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</w:tc>
            </w:tr>
            <w:tr w:rsidR="007B36A2" w:rsidRPr="00080CCB" w:rsidTr="007B36A2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3A430C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 w:rsidRPr="00080CCB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P.51c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 w:rsidRPr="00080CCB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Consumo de capital fijo</w:t>
                  </w:r>
                </w:p>
              </w:tc>
              <w:tc>
                <w:tcPr>
                  <w:tcW w:w="3677" w:type="pct"/>
                  <w:shd w:val="clear" w:color="auto" w:fill="auto"/>
                  <w:vAlign w:val="center"/>
                </w:tcPr>
                <w:p w:rsidR="007B36A2" w:rsidRPr="00080CCB" w:rsidRDefault="00FA0838" w:rsidP="00ED272B">
                  <w:pPr>
                    <w:spacing w:before="120" w:after="120"/>
                    <w:jc w:val="both"/>
                    <w:rPr>
                      <w:rFonts w:asciiTheme="minorHAnsi" w:hAnsiTheme="minorHAnsi"/>
                      <w:szCs w:val="22"/>
                    </w:rPr>
                  </w:pPr>
                  <w:r w:rsidRPr="00FA0838">
                    <w:rPr>
                      <w:rFonts w:asciiTheme="minorHAnsi" w:hAnsiTheme="minorHAnsi"/>
                      <w:sz w:val="22"/>
                      <w:szCs w:val="22"/>
                    </w:rPr>
                    <w:t>El consumo de capital fijo es la declinación, durante el período contable, del valor corriente del stock de activos fijos que posee y que utiliza un productor, como consecuencia del deterioro físico, de la obsolescencia normal o de daños accidentales normales. (SCN 2008, 10.25)</w:t>
                  </w:r>
                </w:p>
              </w:tc>
            </w:tr>
            <w:tr w:rsidR="007B36A2" w:rsidRPr="00080CCB" w:rsidTr="007B36A2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9329F8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B</w:t>
                  </w:r>
                  <w:r w:rsidRPr="00080CCB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.1</w:t>
                  </w: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n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Valor Agregado Neto</w:t>
                  </w:r>
                </w:p>
              </w:tc>
              <w:tc>
                <w:tcPr>
                  <w:tcW w:w="3677" w:type="pct"/>
                  <w:shd w:val="clear" w:color="auto" w:fill="auto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/>
                      <w:szCs w:val="22"/>
                    </w:rPr>
                  </w:pPr>
                  <w:r w:rsidRPr="007B36A2">
                    <w:rPr>
                      <w:rFonts w:asciiTheme="minorHAnsi" w:hAnsiTheme="minorHAnsi"/>
                      <w:sz w:val="22"/>
                      <w:szCs w:val="22"/>
                    </w:rPr>
                    <w:t>Se define como el valor de la producción menos los valores tanto del consumo intermedio como del consumo de capital fijo</w:t>
                  </w:r>
                  <w:r w:rsidR="00FA0838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</w:tc>
            </w:tr>
          </w:tbl>
          <w:p w:rsidR="00130E03" w:rsidRPr="00080CCB" w:rsidRDefault="00130E03" w:rsidP="00130E03">
            <w:pPr>
              <w:spacing w:after="120"/>
              <w:rPr>
                <w:rFonts w:asciiTheme="minorHAnsi" w:hAnsiTheme="minorHAnsi" w:cs="Arial"/>
                <w:szCs w:val="22"/>
              </w:rPr>
            </w:pP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lastRenderedPageBreak/>
              <w:t xml:space="preserve">6.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METODOLOGÍA DE CÁLCULO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890DD1" w:rsidRDefault="00997EC0" w:rsidP="00130E03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La presente ficha metodológica detalla al subsector</w:t>
            </w:r>
            <w:r w:rsid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institucional 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Fondos de la Seguridad Social del ejercicio 2011</w:t>
            </w:r>
            <w:r w:rsidR="004B4029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, el mismo que cont</w:t>
            </w:r>
            <w:r w:rsid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empla:</w:t>
            </w:r>
          </w:p>
          <w:p w:rsidR="00F9354A" w:rsidRDefault="00F9354A" w:rsidP="00F9354A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Seguro general de salu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 individual y familiar</w:t>
            </w:r>
          </w:p>
          <w:p w:rsidR="00F9354A" w:rsidRDefault="00F9354A" w:rsidP="00F9354A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Instituto de seguridad social de las fuerzas armadas</w:t>
            </w:r>
          </w:p>
          <w:p w:rsidR="00F9354A" w:rsidRDefault="00F9354A" w:rsidP="00F9354A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Instituto de seguridad social de la policía nacional</w:t>
            </w:r>
          </w:p>
          <w:p w:rsidR="00F9354A" w:rsidRDefault="00F9354A" w:rsidP="00F9354A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Seguro social campesino</w:t>
            </w:r>
          </w:p>
          <w:p w:rsidR="00F9354A" w:rsidRPr="00924F9E" w:rsidRDefault="00F9354A" w:rsidP="00924F9E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924F9E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A manera de ejemplo en esta ficha se detalla el proceso de elaboración de la cuenta  Seguro general de salud individual y familiar</w:t>
            </w:r>
            <w:r w:rsidR="00924F9E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que contiene:</w:t>
            </w:r>
          </w:p>
          <w:p w:rsidR="00F9354A" w:rsidRDefault="00F9354A" w:rsidP="00F9354A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Seguro general de salud individual y familiar-rectoría</w:t>
            </w:r>
          </w:p>
          <w:p w:rsidR="00F9354A" w:rsidRDefault="00F9354A" w:rsidP="00F9354A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lastRenderedPageBreak/>
              <w:t>Seguro general de salu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 individual y familiar-dispensarios</w:t>
            </w:r>
          </w:p>
          <w:p w:rsidR="00F9354A" w:rsidRDefault="00F9354A" w:rsidP="00F9354A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Seguro general de salu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 individual y familiar-hospitales</w:t>
            </w:r>
          </w:p>
          <w:p w:rsidR="00924F9E" w:rsidRDefault="00924F9E" w:rsidP="00924F9E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924F9E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Para el ejercicio práctico se toma</w:t>
            </w:r>
            <w:r w:rsidR="001760C9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la cuenta del</w:t>
            </w:r>
            <w:r w:rsidRPr="00924F9E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Seguro general de salud individual y familiar-rectoría</w:t>
            </w:r>
            <w:r w:rsidR="001760C9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.</w:t>
            </w:r>
          </w:p>
          <w:p w:rsidR="001760C9" w:rsidRDefault="001760C9" w:rsidP="00924F9E">
            <w:pPr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Tratamiento de la b</w:t>
            </w:r>
            <w:r w:rsidRPr="001760C9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ase</w:t>
            </w: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 de datos:</w:t>
            </w:r>
          </w:p>
          <w:p w:rsidR="001760C9" w:rsidRDefault="001760C9" w:rsidP="00924F9E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La información recolectada del sector institucional gobierno general </w:t>
            </w:r>
            <w:r w:rsidR="00133726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proviene de diferentes fuentes:</w:t>
            </w:r>
          </w:p>
          <w:p w:rsidR="00133726" w:rsidRDefault="00133726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Ministerio de Finanzas</w:t>
            </w:r>
          </w:p>
          <w:p w:rsidR="00D532FA" w:rsidRDefault="00D532FA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Ministerio de Defensa</w:t>
            </w:r>
          </w:p>
          <w:p w:rsidR="00133726" w:rsidRDefault="00133726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Banco del Estado</w:t>
            </w:r>
          </w:p>
          <w:p w:rsidR="00133726" w:rsidRDefault="00133726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Seguro General de Salud Individual y familiar del IESS </w:t>
            </w:r>
          </w:p>
          <w:p w:rsidR="00133726" w:rsidRDefault="00133726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Seguro Social Campesino (SSC)</w:t>
            </w:r>
          </w:p>
          <w:p w:rsidR="00133726" w:rsidRDefault="00133726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Instituto de Seguridad Social de las Fuerzas Armadas (ISSFA)</w:t>
            </w:r>
          </w:p>
          <w:p w:rsidR="00133726" w:rsidRDefault="00D532FA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Direcci</w:t>
            </w:r>
            <w:r w:rsidR="00F0465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ón Nacional de la Policía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</w:t>
            </w:r>
          </w:p>
          <w:p w:rsidR="00D532FA" w:rsidRDefault="00D532FA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Distrito Metropolitano de Quito</w:t>
            </w:r>
          </w:p>
          <w:p w:rsidR="00054C00" w:rsidRDefault="00054C00" w:rsidP="00054C00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De estas instituciones se obtienen los Presupuestos devengados del sector salud para cada una de las unidades institucionales, los mismos que contienen </w:t>
            </w:r>
            <w:r w:rsidR="00F0465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i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ngre</w:t>
            </w:r>
            <w:r w:rsidR="00F0465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sos y gastos.</w:t>
            </w:r>
          </w:p>
          <w:p w:rsidR="00054C00" w:rsidRDefault="00054C00" w:rsidP="00054C00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054C00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Para elaborar la cuenta de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l</w:t>
            </w:r>
            <w:r w:rsidRPr="00054C00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Seguro general de salud individual y familiar-rectoría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la información proviene del Instituto Ecuatoriano de Seguridad Social</w:t>
            </w:r>
            <w:r w:rsidR="00F0465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.</w:t>
            </w:r>
          </w:p>
          <w:p w:rsidR="00F9354A" w:rsidRPr="00F9354A" w:rsidRDefault="00F0465A" w:rsidP="00F9354A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La información obtenida </w:t>
            </w:r>
            <w:r w:rsidR="00082ED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viene descrita de acuerdo al Clasificador presupuestario de ingresos y gastos del sector público, en la cual</w:t>
            </w:r>
            <w:r w:rsidR="009B2CF7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,</w:t>
            </w:r>
            <w:r w:rsidR="00082ED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cada una de las partidas presupuestarias se </w:t>
            </w:r>
            <w:r w:rsidR="009B2CF7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deben</w:t>
            </w:r>
            <w:r w:rsidR="00082ED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corresponder según el catálogo de cuentas nacionales</w:t>
            </w:r>
            <w:r w:rsidR="009B2CF7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.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8F29C1" w:rsidRDefault="008F29C1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  <w:u w:val="single"/>
              </w:rPr>
            </w:pPr>
            <w:r w:rsidRPr="008F29C1">
              <w:rPr>
                <w:rFonts w:asciiTheme="minorHAnsi" w:hAnsiTheme="minorHAnsi" w:cs="Arial"/>
                <w:b/>
                <w:szCs w:val="22"/>
                <w:u w:val="single"/>
              </w:rPr>
              <w:lastRenderedPageBreak/>
              <w:t>RECURSOS</w:t>
            </w:r>
          </w:p>
        </w:tc>
      </w:tr>
      <w:tr w:rsidR="008F29C1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8F29C1" w:rsidRPr="00080CCB" w:rsidRDefault="008F29C1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szCs w:val="22"/>
              </w:rPr>
              <w:t>P.</w:t>
            </w:r>
            <w:r>
              <w:rPr>
                <w:rFonts w:asciiTheme="minorHAnsi" w:hAnsiTheme="minorHAnsi" w:cs="Arial"/>
                <w:b/>
                <w:szCs w:val="22"/>
              </w:rPr>
              <w:t>1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>Producción</w:t>
            </w:r>
          </w:p>
        </w:tc>
      </w:tr>
      <w:tr w:rsidR="00D15B9F" w:rsidRPr="00080CCB" w:rsidTr="00D15B9F">
        <w:trPr>
          <w:jc w:val="center"/>
        </w:trPr>
        <w:tc>
          <w:tcPr>
            <w:tcW w:w="9054" w:type="dxa"/>
            <w:gridSpan w:val="4"/>
            <w:shd w:val="clear" w:color="auto" w:fill="FFFFFF" w:themeFill="background1"/>
            <w:vAlign w:val="center"/>
          </w:tcPr>
          <w:p w:rsidR="00D15B9F" w:rsidRPr="0079303F" w:rsidRDefault="00D15B9F" w:rsidP="00D15B9F">
            <w:pPr>
              <w:spacing w:before="120" w:after="120"/>
              <w:rPr>
                <w:color w:val="000000"/>
                <w:szCs w:val="22"/>
              </w:rPr>
            </w:pPr>
            <w:r w:rsidRPr="0079303F">
              <w:rPr>
                <w:color w:val="000000"/>
                <w:szCs w:val="22"/>
              </w:rPr>
              <w:t>Esta variable se calcula de la siguiente manera:</w:t>
            </w:r>
          </w:p>
          <w:p w:rsidR="00556EEC" w:rsidRPr="00997EC0" w:rsidRDefault="00556EEC" w:rsidP="00556EEC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=P.2+P.51c+D.1+D.29</m:t>
                </m:r>
              </m:oMath>
            </m:oMathPara>
          </w:p>
          <w:p w:rsidR="00D15B9F" w:rsidRPr="004713AB" w:rsidRDefault="004713AB" w:rsidP="00D15B9F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</m:t>
                </m:r>
                <m:r>
                  <m:rPr>
                    <m:sty m:val="bi"/>
                  </m:rPr>
                  <w:rPr>
                    <w:rFonts w:ascii="Cambria Math" w:eastAsiaTheme="minorHAnsi" w:hAnsiTheme="minorHAnsi" w:cs="Arial"/>
                    <w:color w:val="000000"/>
                    <w:szCs w:val="22"/>
                  </w:rPr>
                  <m:t>.</m:t>
                </m:r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HAnsi" w:hAnsiTheme="minorHAnsi" w:cs="Arial"/>
                    <w:color w:val="000000"/>
                    <w:szCs w:val="22"/>
                  </w:rPr>
                  <m:t xml:space="preserve">  </m:t>
                </m:r>
                <m:r>
                  <w:rPr>
                    <w:rFonts w:ascii="Cambria Math" w:eastAsiaTheme="minorHAnsi" w:hAnsiTheme="minorHAnsi" w:cs="Arial"/>
                    <w:color w:val="000000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00000"/>
                    <w:szCs w:val="22"/>
                  </w:rPr>
                  <m:t>Consumo intermedio</m:t>
                </m:r>
                <m:r>
                  <w:rPr>
                    <w:rFonts w:ascii="Cambria Math" w:eastAsiaTheme="minorHAnsi" w:hAnsiTheme="minorHAnsi" w:cs="Arial"/>
                    <w:color w:val="000000"/>
                    <w:szCs w:val="2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00000"/>
                    <w:szCs w:val="22"/>
                  </w:rPr>
                  <m:t>Consumo de capital fijo</m:t>
                </m:r>
                <m:r>
                  <w:rPr>
                    <w:rFonts w:ascii="Cambria Math" w:eastAsiaTheme="minorHAnsi" w:hAnsiTheme="minorHAnsi" w:cs="Arial"/>
                    <w:color w:val="000000"/>
                    <w:szCs w:val="22"/>
                  </w:rPr>
                  <m:t xml:space="preserve">  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00000"/>
                    <w:szCs w:val="22"/>
                  </w:rPr>
                  <m:t>Remuneración de los empleados</m:t>
                </m:r>
                <m:r>
                  <m:rPr>
                    <m:sty m:val="p"/>
                  </m:rPr>
                  <w:rPr>
                    <w:rFonts w:ascii="Cambria Math" w:eastAsiaTheme="minorEastAsia" w:hAnsiTheme="minorHAnsi" w:cs="Arial"/>
                    <w:color w:val="000000"/>
                    <w:szCs w:val="2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00000"/>
                    <w:szCs w:val="22"/>
                  </w:rPr>
                  <m:t>Otros impuestos sobre la producción</m:t>
                </m:r>
              </m:oMath>
            </m:oMathPara>
          </w:p>
          <w:p w:rsidR="002C3797" w:rsidRDefault="00D15B9F" w:rsidP="002C3797">
            <w:pPr>
              <w:spacing w:before="120" w:after="120"/>
              <w:rPr>
                <w:rFonts w:ascii="Calibri" w:hAnsi="Calibri"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eastAsiaTheme="minorHAnsi" w:hAnsi="Cambria Math" w:cs="Arial"/>
                  <w:color w:val="000000"/>
                  <w:szCs w:val="22"/>
                </w:rPr>
                <m:t>P.1</m:t>
              </m:r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=</m:t>
              </m:r>
            </m:oMath>
            <w:r w:rsidR="00556EEC">
              <w:rPr>
                <w:rFonts w:ascii="Calibri" w:hAnsi="Calibri"/>
                <w:color w:val="000000"/>
                <w:szCs w:val="22"/>
              </w:rPr>
              <w:t>120.725</w:t>
            </w:r>
            <m:oMath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+</m:t>
              </m:r>
            </m:oMath>
            <w:r w:rsidR="00556EEC">
              <w:rPr>
                <w:rFonts w:ascii="Calibri" w:hAnsi="Calibri"/>
                <w:color w:val="000000"/>
                <w:szCs w:val="22"/>
              </w:rPr>
              <w:t xml:space="preserve"> 58.541</w:t>
            </w:r>
            <m:oMath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+</m:t>
              </m:r>
            </m:oMath>
            <w:r w:rsidR="00556EEC">
              <w:rPr>
                <w:rFonts w:ascii="Calibri" w:hAnsi="Calibri"/>
                <w:color w:val="000000"/>
                <w:szCs w:val="22"/>
              </w:rPr>
              <w:t>274.741</w:t>
            </w:r>
            <m:oMath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+</m:t>
              </m:r>
            </m:oMath>
            <w:r w:rsidR="00556EEC">
              <w:rPr>
                <w:rFonts w:ascii="Calibri" w:hAnsi="Calibri"/>
                <w:color w:val="000000"/>
                <w:szCs w:val="22"/>
              </w:rPr>
              <w:t>32</w:t>
            </w:r>
          </w:p>
          <w:p w:rsidR="00D15B9F" w:rsidRPr="00B377BD" w:rsidRDefault="00D15B9F" w:rsidP="005E3C40">
            <w:pPr>
              <w:spacing w:before="120" w:after="120"/>
              <w:rPr>
                <w:rFonts w:ascii="Calibri" w:hAnsi="Calibri"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eastAsiaTheme="minorHAnsi" w:hAnsi="Cambria Math" w:cs="Arial"/>
                  <w:color w:val="000000"/>
                  <w:szCs w:val="22"/>
                </w:rPr>
                <m:t>P.1</m:t>
              </m:r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=</m:t>
              </m:r>
            </m:oMath>
            <w:r w:rsidRPr="0079303F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</w:t>
            </w:r>
            <w:r w:rsidR="002C3797">
              <w:rPr>
                <w:rFonts w:ascii="Calibri" w:hAnsi="Calibri"/>
                <w:color w:val="000000"/>
                <w:szCs w:val="22"/>
              </w:rPr>
              <w:t>454.039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lastRenderedPageBreak/>
              <w:t>P.11 Producción de mercado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B81B15" w:rsidRDefault="003229B0" w:rsidP="003229B0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Una vez codificada las partidas presupuestarias de la base de ingresos de acuerdo al catálogo de cuentas nacionales,  se filtra todas las variables correspondientes a la P.11 obteniendo un total como se observa en el siguiente cuadro:</w:t>
            </w:r>
          </w:p>
          <w:p w:rsidR="00BF7516" w:rsidRDefault="00BF7516" w:rsidP="003229B0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</w:rPr>
            </w:pPr>
          </w:p>
          <w:p w:rsidR="00B377BD" w:rsidRPr="00B377BD" w:rsidRDefault="00B377BD" w:rsidP="003229B0">
            <w:pPr>
              <w:spacing w:before="120" w:after="120"/>
              <w:jc w:val="both"/>
              <w:rPr>
                <w:rFonts w:asciiTheme="minorHAnsi" w:hAnsiTheme="minorHAnsi" w:cs="Arial"/>
                <w:sz w:val="6"/>
                <w:szCs w:val="6"/>
              </w:rPr>
            </w:pP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94"/>
              <w:gridCol w:w="1095"/>
              <w:gridCol w:w="4536"/>
              <w:gridCol w:w="2103"/>
            </w:tblGrid>
            <w:tr w:rsidR="001F7D41" w:rsidRPr="001F7D41" w:rsidTr="001F7D41">
              <w:trPr>
                <w:trHeight w:val="300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D41" w:rsidRPr="001F7D41" w:rsidRDefault="001F7D41" w:rsidP="001F7D41">
                  <w:pPr>
                    <w:jc w:val="center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Partida</w:t>
                  </w:r>
                </w:p>
              </w:tc>
              <w:tc>
                <w:tcPr>
                  <w:tcW w:w="62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D41" w:rsidRPr="001F7D41" w:rsidRDefault="001F7D41" w:rsidP="001F7D41">
                  <w:pPr>
                    <w:jc w:val="center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Cód. CN</w:t>
                  </w:r>
                </w:p>
              </w:tc>
              <w:tc>
                <w:tcPr>
                  <w:tcW w:w="256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7D41" w:rsidRPr="001F7D41" w:rsidRDefault="001F7D41" w:rsidP="001F7D41">
                  <w:pPr>
                    <w:jc w:val="center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Detalle</w:t>
                  </w:r>
                </w:p>
              </w:tc>
              <w:tc>
                <w:tcPr>
                  <w:tcW w:w="119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D41" w:rsidRPr="001F7D41" w:rsidRDefault="001F7D41" w:rsidP="001F7D41">
                  <w:pPr>
                    <w:jc w:val="center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Valor devengado</w:t>
                  </w:r>
                </w:p>
              </w:tc>
            </w:tr>
            <w:tr w:rsidR="001F7D41" w:rsidRPr="001F7D41" w:rsidTr="001F7D41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D41" w:rsidRPr="001F7D41" w:rsidRDefault="001F7D41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D41" w:rsidRPr="001F7D41" w:rsidRDefault="001F7D41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="00B377BD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D41" w:rsidRPr="001F7D41" w:rsidRDefault="001F7D41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7D41" w:rsidRPr="001F7D41" w:rsidRDefault="001F7D41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901.054,27 </w:t>
                  </w:r>
                </w:p>
              </w:tc>
            </w:tr>
            <w:tr w:rsidR="00B377BD" w:rsidRPr="001F7D41" w:rsidTr="00B377BD">
              <w:trPr>
                <w:trHeight w:val="6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140205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A15FA7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De Instrumental Médico Menor  Insumos Médicos Y Medicinas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86.540,46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170202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A15FA7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   2.841,16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480652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   2.127,95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480652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   5.710,81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480652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402.298,08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480652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55.000,00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480652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         60,00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480652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105.077,50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480652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501.644,82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170202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480652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   1.414,28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170202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480652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   1.276,13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130199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480652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Otras Tasas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202.108,52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480652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414.131,24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480652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359.998,35 </w:t>
                  </w:r>
                </w:p>
              </w:tc>
            </w:tr>
            <w:tr w:rsidR="00B377BD" w:rsidRPr="001F7D41" w:rsidTr="00B377BD">
              <w:trPr>
                <w:trHeight w:val="6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140205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480652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De Instrumental Médico Menor  Insumos Médicos Y Medicinas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179.997,77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130106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480652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Especies Fiscales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   1.957,00 </w:t>
                  </w:r>
                </w:p>
              </w:tc>
            </w:tr>
            <w:tr w:rsidR="00B377BD" w:rsidRPr="001F7D41" w:rsidTr="00B377BD">
              <w:trPr>
                <w:trHeight w:val="6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140205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480652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De Instrumental Médico Menor  Insumos Médicos Y Medicinas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47.013,74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480652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201.347,78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362F74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18.352,22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362F74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47.744,17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362F74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15.781,24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362F74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22.269,66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362F74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638.932,24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362F74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432.506,71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362F74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11.804,29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362F74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   4.800,51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362F74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426.484,09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362F74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392.876,58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362F74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262.376,69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AF59BD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   1.249,66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AF59BD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313.498,44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AF59BD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20.447,06 </w:t>
                  </w:r>
                </w:p>
              </w:tc>
            </w:tr>
            <w:tr w:rsidR="00B377BD" w:rsidRPr="001F7D41" w:rsidTr="00B377BD">
              <w:trPr>
                <w:trHeight w:val="6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140205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AF59BD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De Instrumental Médico Menor  Insumos Médicos Y Medicinas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   2.393,38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130108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AF59BD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Prestación De Servicios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79.708,08 </w:t>
                  </w:r>
                </w:p>
              </w:tc>
            </w:tr>
            <w:tr w:rsidR="00B377BD" w:rsidRPr="001F7D41" w:rsidTr="00B377BD">
              <w:trPr>
                <w:trHeight w:val="300"/>
              </w:trPr>
              <w:tc>
                <w:tcPr>
                  <w:tcW w:w="6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Pr="001F7D41" w:rsidRDefault="00B377BD" w:rsidP="001F7D41">
                  <w:pPr>
                    <w:jc w:val="center"/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170202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77BD" w:rsidRDefault="00B377BD" w:rsidP="00B377BD">
                  <w:pPr>
                    <w:jc w:val="center"/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P</w:t>
                  </w:r>
                  <w:r w:rsidRPr="00AF59BD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.</w:t>
                  </w: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11</w:t>
                  </w:r>
                </w:p>
              </w:tc>
              <w:tc>
                <w:tcPr>
                  <w:tcW w:w="2569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77BD" w:rsidRPr="001F7D41" w:rsidRDefault="00B377BD" w:rsidP="001F7D41">
                  <w:pPr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         1.100,00 </w:t>
                  </w:r>
                </w:p>
              </w:tc>
            </w:tr>
            <w:tr w:rsidR="001F7D41" w:rsidRPr="001F7D41" w:rsidTr="001F7D41">
              <w:trPr>
                <w:trHeight w:val="300"/>
              </w:trPr>
              <w:tc>
                <w:tcPr>
                  <w:tcW w:w="380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F7D41" w:rsidRPr="001F7D41" w:rsidRDefault="001F7D41" w:rsidP="001F7D41">
                  <w:pPr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Total</w:t>
                  </w:r>
                </w:p>
              </w:tc>
              <w:tc>
                <w:tcPr>
                  <w:tcW w:w="119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7D41" w:rsidRPr="001F7D41" w:rsidRDefault="001F7D41" w:rsidP="001F7D41">
                  <w:pPr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1F7D41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          6.163.924,88 </w:t>
                  </w:r>
                </w:p>
              </w:tc>
            </w:tr>
          </w:tbl>
          <w:p w:rsidR="001760C9" w:rsidRPr="00907CCA" w:rsidRDefault="00B377BD" w:rsidP="005E3C40">
            <w:pPr>
              <w:spacing w:before="120" w:after="120"/>
              <w:rPr>
                <w:rFonts w:asciiTheme="minorHAnsi" w:hAnsiTheme="minorHAnsi" w:cs="Arial"/>
                <w:szCs w:val="22"/>
              </w:rPr>
            </w:pPr>
            <w:r w:rsidRPr="00907CCA">
              <w:rPr>
                <w:rFonts w:asciiTheme="minorHAnsi" w:hAnsiTheme="minorHAnsi" w:cs="Arial"/>
                <w:szCs w:val="22"/>
              </w:rPr>
              <w:t>El valor obtenido de la sumatoria de las partidas presupuestarias correspondientes a P.11 debe ser convertida a miles de dólares aplicando la siguiente fórmula:</w:t>
            </w:r>
          </w:p>
          <w:p w:rsidR="00B377BD" w:rsidRPr="00907CCA" w:rsidRDefault="00B377BD" w:rsidP="005E3C40">
            <w:pPr>
              <w:spacing w:before="120" w:after="120"/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</w:pPr>
            <w:r w:rsidRPr="00907CCA"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  <w:t>=ENTERO(((6.163.924,88)/1000)+0,5)</w:t>
            </w:r>
          </w:p>
          <w:p w:rsidR="001760C9" w:rsidRDefault="00B377BD" w:rsidP="005E3C40">
            <w:pPr>
              <w:spacing w:before="120" w:after="120"/>
              <w:rPr>
                <w:rFonts w:asciiTheme="minorHAnsi" w:hAnsiTheme="minorHAnsi" w:cs="Arial"/>
                <w:szCs w:val="22"/>
                <w:lang w:val="es-EC"/>
              </w:rPr>
            </w:pPr>
            <w:r w:rsidRPr="00907CCA">
              <w:rPr>
                <w:rFonts w:asciiTheme="minorHAnsi" w:hAnsiTheme="minorHAnsi" w:cs="Arial"/>
                <w:szCs w:val="22"/>
                <w:lang w:val="es-EC"/>
              </w:rPr>
              <w:t>=</w:t>
            </w:r>
            <w:r w:rsidR="00405474" w:rsidRPr="00907CCA">
              <w:rPr>
                <w:rFonts w:asciiTheme="minorHAnsi" w:hAnsiTheme="minorHAnsi" w:cs="Arial"/>
                <w:szCs w:val="22"/>
                <w:lang w:val="es-EC"/>
              </w:rPr>
              <w:t xml:space="preserve"> </w:t>
            </w:r>
            <w:r w:rsidRPr="00907CCA">
              <w:rPr>
                <w:rFonts w:asciiTheme="minorHAnsi" w:hAnsiTheme="minorHAnsi" w:cs="Arial"/>
                <w:szCs w:val="22"/>
                <w:lang w:val="es-EC"/>
              </w:rPr>
              <w:t>6.164</w:t>
            </w:r>
            <w:r w:rsidR="00405474" w:rsidRPr="00907CCA">
              <w:rPr>
                <w:rFonts w:asciiTheme="minorHAnsi" w:hAnsiTheme="minorHAnsi" w:cs="Arial"/>
                <w:szCs w:val="22"/>
                <w:lang w:val="es-EC"/>
              </w:rPr>
              <w:t xml:space="preserve"> valores que se coloca en la cuenta corriente, como se observa en el punto 3. “Estructura de la cuenta”.</w:t>
            </w:r>
          </w:p>
          <w:p w:rsidR="00235796" w:rsidRPr="00BF7516" w:rsidRDefault="00235796" w:rsidP="005E3C40">
            <w:pPr>
              <w:spacing w:before="120" w:after="120"/>
              <w:rPr>
                <w:rFonts w:asciiTheme="minorHAnsi" w:hAnsiTheme="minorHAnsi" w:cs="Arial"/>
                <w:szCs w:val="22"/>
                <w:lang w:val="es-EC"/>
              </w:rPr>
            </w:pP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lastRenderedPageBreak/>
              <w:t xml:space="preserve">P.12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Producción para uso final propio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B81B15" w:rsidRPr="00603C5F" w:rsidRDefault="00603C5F" w:rsidP="005E3C40">
            <w:pPr>
              <w:spacing w:before="120" w:after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No aplica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 xml:space="preserve">P.13 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>Otra producción no de mercado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vAlign w:val="center"/>
          </w:tcPr>
          <w:p w:rsidR="00DE71FE" w:rsidRPr="003229B0" w:rsidRDefault="00DE71FE" w:rsidP="00DE71FE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Esta variable se calcula de la siguiente manera:</w:t>
            </w:r>
          </w:p>
          <w:p w:rsidR="00DE71FE" w:rsidRDefault="00E16CDD" w:rsidP="00DE71FE">
            <w:pPr>
              <w:spacing w:before="120" w:after="120"/>
              <w:rPr>
                <w:rFonts w:asciiTheme="minorHAnsi" w:eastAsiaTheme="minorEastAsia" w:hAnsiTheme="minorHAnsi" w:cs="Arial"/>
                <w:noProof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/>
                <w:bCs/>
                <w:noProof/>
                <w:color w:val="000000"/>
                <w:szCs w:val="22"/>
                <w:lang w:val="es-EC" w:eastAsia="es-EC"/>
              </w:rPr>
              <w:pict>
                <v:shape id="_x0000_s1029" type="#_x0000_t87" style="position:absolute;margin-left:164.45pt;margin-top:-.25pt;width:9pt;height:28.1pt;rotation:270;z-index:251662336"/>
              </w:pict>
            </w:r>
            <w:r>
              <w:rPr>
                <w:rFonts w:asciiTheme="minorHAnsi" w:eastAsiaTheme="minorEastAsia" w:hAnsiTheme="minorHAnsi" w:cs="Arial"/>
                <w:b/>
                <w:bCs/>
                <w:noProof/>
                <w:color w:val="000000"/>
                <w:szCs w:val="22"/>
                <w:lang w:val="es-EC" w:eastAsia="es-EC"/>
              </w:rPr>
              <w:pict>
                <v:shape id="_x0000_s1028" type="#_x0000_t87" style="position:absolute;margin-left:90.6pt;margin-top:-34.85pt;width:9pt;height:103.65pt;rotation:270;z-index:251661312"/>
              </w:pict>
            </w:r>
            <m:oMath>
              <m:r>
                <m:rPr>
                  <m:sty m:val="bi"/>
                </m:rPr>
                <w:rPr>
                  <w:rFonts w:ascii="Cambria Math" w:eastAsiaTheme="minorHAnsi" w:hAnsi="Cambria Math" w:cs="Arial"/>
                  <w:color w:val="000000"/>
                  <w:szCs w:val="22"/>
                </w:rPr>
                <m:t>P.13</m:t>
              </m:r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Arial"/>
                      <w:i/>
                      <w:color w:val="000000"/>
                      <w:szCs w:val="22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HAnsi" w:hAnsi="Cambria Math" w:cs="Arial"/>
                          <w:i/>
                          <w:color w:val="00000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Theme="minorHAnsi" w:hAnsi="Cambria Math" w:cs="Arial"/>
                          <w:color w:val="000000"/>
                          <w:szCs w:val="22"/>
                        </w:rPr>
                        <m:t>P.2+D.1+D.29</m:t>
                      </m:r>
                    </m:e>
                  </m:d>
                  <m:r>
                    <w:rPr>
                      <w:rFonts w:ascii="Cambria Math" w:eastAsiaTheme="minorHAnsi" w:hAnsi="Cambria Math" w:cs="Arial"/>
                      <w:color w:val="000000"/>
                      <w:szCs w:val="22"/>
                    </w:rPr>
                    <m:t>-P.11</m:t>
                  </m:r>
                </m:e>
              </m:d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+P.51c</m:t>
              </m:r>
            </m:oMath>
          </w:p>
          <w:p w:rsidR="00DE71FE" w:rsidRPr="00E07B91" w:rsidRDefault="00DE71FE" w:rsidP="00DE71FE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              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 w:val="18"/>
                <w:szCs w:val="22"/>
              </w:rPr>
              <w:t xml:space="preserve">variables empleos  </w:t>
            </w:r>
            <w:r>
              <w:rPr>
                <w:rFonts w:asciiTheme="minorHAnsi" w:eastAsiaTheme="minorEastAsia" w:hAnsiTheme="minorHAnsi" w:cs="Arial"/>
                <w:bCs/>
                <w:color w:val="000000"/>
                <w:sz w:val="18"/>
                <w:szCs w:val="22"/>
              </w:rPr>
              <w:t xml:space="preserve">  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 w:val="18"/>
                <w:szCs w:val="22"/>
              </w:rPr>
              <w:t xml:space="preserve">  variables recursos</w:t>
            </w:r>
          </w:p>
          <w:p w:rsidR="00DE71FE" w:rsidRPr="00D84E7C" w:rsidRDefault="00DE71FE" w:rsidP="00DE71FE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P.13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Arial"/>
                        <w:i/>
                        <w:color w:val="000000"/>
                        <w:szCs w:val="22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color w:val="000000"/>
                            <w:szCs w:val="2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000000"/>
                            <w:szCs w:val="22"/>
                          </w:rPr>
                          <m:t>Consumo intermedio</m:t>
                        </m:r>
                        <m:r>
                          <w:rPr>
                            <w:rFonts w:ascii="Cambria Math" w:eastAsiaTheme="minorHAnsi" w:hAnsi="Cambria Math" w:cs="Arial"/>
                            <w:color w:val="000000"/>
                            <w:szCs w:val="22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000000"/>
                            <w:szCs w:val="22"/>
                          </w:rPr>
                          <m:t>Remuneración de los empleados</m:t>
                        </m:r>
                        <m:r>
                          <w:rPr>
                            <w:rFonts w:ascii="Cambria Math" w:eastAsiaTheme="minorHAnsi" w:hAnsi="Cambria Math" w:cs="Arial"/>
                            <w:color w:val="000000"/>
                            <w:szCs w:val="22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000000"/>
                            <w:szCs w:val="22"/>
                          </w:rPr>
                          <m:t>Otros impuestos sobre la producción</m:t>
                        </m:r>
                      </m:e>
                    </m:d>
                    <m:r>
                      <w:rPr>
                        <w:rFonts w:ascii="Cambria Math" w:eastAsiaTheme="minorHAnsi" w:hAnsi="Cambria Math" w:cs="Arial"/>
                        <w:color w:val="000000"/>
                        <w:szCs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color w:val="000000"/>
                        <w:szCs w:val="22"/>
                      </w:rPr>
                      <m:t>Producción de mercado</m:t>
                    </m:r>
                  </m:e>
                </m:d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00000"/>
                    <w:szCs w:val="22"/>
                  </w:rPr>
                  <m:t>Consumo de capital fijo</m:t>
                </m:r>
              </m:oMath>
            </m:oMathPara>
          </w:p>
          <w:p w:rsidR="00DE71FE" w:rsidRPr="00FA7EFE" w:rsidRDefault="00DE71FE" w:rsidP="00DE71FE">
            <w:pPr>
              <w:spacing w:before="120" w:after="120"/>
              <w:rPr>
                <w:rFonts w:asciiTheme="minorHAnsi" w:hAnsiTheme="minorHAnsi" w:cs="Arial"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P.13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Arial"/>
                        <w:i/>
                        <w:color w:val="000000"/>
                        <w:szCs w:val="22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color w:val="000000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HAnsi" w:hAnsi="Cambria Math" w:cs="Arial"/>
                            <w:color w:val="000000"/>
                            <w:szCs w:val="22"/>
                          </w:rPr>
                          <m:t>120.725+274.741+32</m:t>
                        </m:r>
                      </m:e>
                    </m:d>
                    <m:r>
                      <w:rPr>
                        <w:rFonts w:ascii="Cambria Math" w:eastAsiaTheme="minorHAnsi" w:hAnsi="Cambria Math" w:cs="Arial"/>
                        <w:color w:val="000000"/>
                        <w:szCs w:val="22"/>
                      </w:rPr>
                      <m:t>-6.164</m:t>
                    </m:r>
                  </m:e>
                </m:d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+58.541</m:t>
                </m:r>
              </m:oMath>
            </m:oMathPara>
          </w:p>
          <w:p w:rsidR="00384BA7" w:rsidRPr="00235796" w:rsidRDefault="00DE71FE" w:rsidP="00DE71FE">
            <w:pPr>
              <w:spacing w:before="120" w:after="120"/>
              <w:jc w:val="both"/>
              <w:rPr>
                <w:rFonts w:ascii="Calibri" w:hAnsi="Calibri"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P.13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=447.875</m:t>
                </m:r>
              </m:oMath>
            </m:oMathPara>
          </w:p>
          <w:p w:rsidR="00235796" w:rsidRPr="00DE71FE" w:rsidRDefault="00235796" w:rsidP="00DE71FE">
            <w:pPr>
              <w:spacing w:before="120" w:after="120"/>
              <w:jc w:val="both"/>
              <w:rPr>
                <w:rFonts w:ascii="Calibri" w:hAnsi="Calibri"/>
                <w:color w:val="000000"/>
                <w:szCs w:val="22"/>
              </w:rPr>
            </w:pP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8F29C1" w:rsidRDefault="008F29C1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  <w:u w:val="single"/>
              </w:rPr>
            </w:pPr>
            <w:r w:rsidRPr="008F29C1">
              <w:rPr>
                <w:rFonts w:asciiTheme="minorHAnsi" w:hAnsiTheme="minorHAnsi" w:cs="Arial"/>
                <w:b/>
                <w:szCs w:val="22"/>
                <w:u w:val="single"/>
              </w:rPr>
              <w:lastRenderedPageBreak/>
              <w:t>EMPLEOS</w:t>
            </w:r>
          </w:p>
        </w:tc>
      </w:tr>
      <w:tr w:rsidR="008F29C1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8F29C1" w:rsidRPr="00080CCB" w:rsidRDefault="008F29C1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szCs w:val="22"/>
              </w:rPr>
              <w:t>P.2 Consumo intermedio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3229B0" w:rsidRDefault="003229B0" w:rsidP="003229B0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Una vez codificada las partidas presupuestarias de la base de </w:t>
            </w:r>
            <w:r w:rsidR="00745582">
              <w:rPr>
                <w:rFonts w:asciiTheme="minorHAnsi" w:hAnsiTheme="minorHAnsi" w:cs="Arial"/>
                <w:szCs w:val="22"/>
              </w:rPr>
              <w:t xml:space="preserve">gastos </w:t>
            </w:r>
            <w:r>
              <w:rPr>
                <w:rFonts w:asciiTheme="minorHAnsi" w:hAnsiTheme="minorHAnsi" w:cs="Arial"/>
                <w:szCs w:val="22"/>
              </w:rPr>
              <w:t>de acuerdo al catálogo de cuentas nacionales,  se filtra todas las variables correspondientes a la P.2 obteniendo un total como se observa en el siguiente cuadro:</w:t>
            </w:r>
          </w:p>
          <w:tbl>
            <w:tblPr>
              <w:tblW w:w="97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95"/>
              <w:gridCol w:w="1095"/>
              <w:gridCol w:w="4625"/>
              <w:gridCol w:w="2013"/>
            </w:tblGrid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Partida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Cód. CN</w:t>
                  </w:r>
                </w:p>
              </w:tc>
              <w:tc>
                <w:tcPr>
                  <w:tcW w:w="51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Detalle</w:t>
                  </w:r>
                </w:p>
              </w:tc>
              <w:tc>
                <w:tcPr>
                  <w:tcW w:w="2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Valor devengado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Transporte De Personal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4710,84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195,14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56429,5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9715,13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3215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125143,08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31267,5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74808,86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465,6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2425,09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Obligaciones Con El Iess Por Coactivas Interpuestas Por El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587,59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1463,56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25620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47348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9906,95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7462,19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2947,67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693661,54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2875,28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8747,5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9974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11441,99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7338,88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Transporte De Personal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233,72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1849,13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2389,88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1819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2270,28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5512,5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438,32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20211,19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22739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205,21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15525,01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531406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954,82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17950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23982,64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6441,88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9305,31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90468,32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38576,06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5550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9120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1289,96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Fiscalización E Inspecciones Técnicas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530504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399,23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7355,56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53191,38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10887,05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14180,04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109,82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7868,77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5815,56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43049,99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2671,84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Estudio Y Diseño De Proyectos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59858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1525874,54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199995,3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24281,02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9542,02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46320,92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Terrenos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530502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7244,92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10092,6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111,55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570102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Tasas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272,85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316972,35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2640,01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Arrendamiento Y Licencias De Uso De Paquetes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5093,36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357,14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465,12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19754,37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104170,61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59650,26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438,96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18570,6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56253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307752,21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889377,11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6564,67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3577,51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8204,14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1734,26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1106,68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79939,09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5600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2566,4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397,98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11577,85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781,8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8989,15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1483884,61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17536,76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31141,13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8111,39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Desarrollo De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15580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26040,46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133100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82126,86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3670,18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11301,89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50645,78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36616,55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3692,5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244,65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2413,32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De Inversión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22887,24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99835,52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33556,63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5523,4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11892,08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9201,64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347382,01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160121,2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149481,5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5562,76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6166,67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906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8447,3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531403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8872,54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1023,35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84204,49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713,25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38266,08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6406,32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2235,42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71462,12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7118,34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4962,39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Obligaciones Con El Iess Por Responsabilidad Patronal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689,17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4961,25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859,84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80462,22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128079,23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49362,58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Fiscalización E Inspecciones Técnicas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4200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7185,37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122844,16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18318,08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11226,79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3563,43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117690,1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20957,23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220556,33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779241,78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40192,11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153824,46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288170,83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4443,89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27710,19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52372,75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5785,37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53932,29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201,93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76017,45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194169,14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154760,33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4665,19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5210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11797,5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64251,77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125536,17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14058,2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22052,03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4957,5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37038,79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Fiscalización E Inspecciones Técnicas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410,9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9991,54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12898,04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14968,8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3471,74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790,64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6351,42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46675,19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1964,58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5226,7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14387,15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Arrendamiento Y Licencias De Uso De Paquetes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3740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3531,36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779,08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4748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278,46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15423,56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636125,54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95375,65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49904,52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94888,51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14595,73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20335,77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531404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3985,56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26909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4775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388,5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38004,63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15106,4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5506,33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12036,57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2096,46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126594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92182,15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12468,75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1678,15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5230,95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7126,31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2611,82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15688,64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13357,89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118940,93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654,98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8594,7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2500,02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48371,16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34833,87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33499,81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2366,35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14178,85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143530,65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1918311,33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15550,93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13736,6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4294,53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214024,07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7935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9765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683,05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480,23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33629,64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2372,49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25422,92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32046,87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6661,64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40556,79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45799,37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102,1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9907,89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3208,85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968,15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1120894,04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54198,34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3311,07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17179,55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23211,48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730499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72193,05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533,89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20898,73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7063,35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2064,47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2059,7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12157,25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5913,47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55536,64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196513,52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32925,65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173,24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33321,72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81102,14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1756,34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4420,5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11429,25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8699,19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142247,73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36810,06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169762,47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4998,45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1039,16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1442,92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187,11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111989,15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498,85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4472,63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196866,02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32670,34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3727,07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137827,62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7470,89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27130,26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14844,09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5326,22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13972,51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690,04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209602,83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3929,98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6599,18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819,84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3023,71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809,39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3717,75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378,8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120397,87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19274,94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10712,5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21756,44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4437,56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5471,28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100554,37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250143,84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58490,4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Consultoría  Asesoría E Investigación Especializada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68240,77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220785,49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90154,95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242935,8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70922,25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8063,21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Fiscalización E Inspecciones Técnicas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174,29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530502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10561,69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20213,84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74985,72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1288,21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2927,61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288726,25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78462,95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83207,4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7794,85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60341,03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930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5404,05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28790,9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33357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188736,53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125576,2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3723,47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3724,03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2386,43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Obligaciones Con El Iess Por Coactivas Interpuestas Por El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259,56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4275,68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50010,23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14592,21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16731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81150,76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69081,84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6424,61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87951,64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5007,47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2185,43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43146,85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21346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783,44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3144,35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5462,73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74697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36633,34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530617,53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Consultoría  Asesoría E Investigación Especializada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87102,45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7717,12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273,44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36556,71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3554,9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227212,13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107252,77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13863,24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1021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36644,38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1985,11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264128,77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1155,1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660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25500,87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10854,16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27976,98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188617,04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811520,91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9281,28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481,6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20903,3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2652,27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5204,61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107193,81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1974,94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41577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2966,21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7913,93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1142,9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1975,9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29742,86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22115,43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27826,74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72001,61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18369,61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9973,65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495,17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80344,33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34002,28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21334,24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39175,43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19844,49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19898,06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146160,4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De Inversión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512,5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5203,84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7908,67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185506,13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6280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11237,3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21754,7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39549,18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9363,79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21901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6999,49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207978,12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2298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49996,21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Transporte De Personal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1430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119941,69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570102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Tasas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82,58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279,55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24983,3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3006,7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3190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119514,38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15748,9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22445,8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17238,75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9372,95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34022,62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4979,86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14165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79957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Consultoría  Asesoría E Investigación Especializada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3641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23876,9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17411,4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11422,48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2002,41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3318,39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328,91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531407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Equipos  Sistemas Y Paquetes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20299,05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74839,3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46908,82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111638,52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213108,78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7558,02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Consultoría  Asesoría E Investigación Especializada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857,59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25745,67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531404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644,12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2988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44691,57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59952,91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50629,61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31,89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63303,73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1020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24661,5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11294,2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8535,71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941,78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101494,76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132866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Didácticos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1084,23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3112,5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12338,07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10938,75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295068,35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76640,03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8541,47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18954,16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20381,84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1951,93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30542,05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51,4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2125,14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2865,78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9727,37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244606,74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199202,6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3388,59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10632,38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49193,5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8169,63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52682,4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65134,03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23945,66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88708,44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2044,31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20306,97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217981,8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21677,98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429,29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3620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6633,83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23098,88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86216,09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Desarrollo De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5366,68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27287,1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1514,81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311598,02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70762,27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283658,12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245,29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Arrendamiento Y Licencias De Uso De Paquetes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31365,2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4240996,04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4968,16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9540,81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Consultoría  Asesoría E Investigación Especializada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12249,41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8553,4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4796,94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58678,65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2518,04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338349,03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43590,09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2291,11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736,41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1544,28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Consultoría  Asesoría E Investigación Especializada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4377,5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1583,85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20385,07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13982,21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279775,52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9209,7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14924,91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645,2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34097,73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10595,95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30211,58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622,05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730505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2125,3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46993,36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16360,51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53880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34910,84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388,13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8358,32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6455,36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5730,28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10622,38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1049,84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562487,34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188388,2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5994,3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5671,12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271,7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137,18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138,3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137770,5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50840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36307,86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3365,01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5388,8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62002,75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676,93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21950,6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8731,56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18553,76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22089,63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730502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1486,64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15589,04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20948,67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3243,94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45243,9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1524,45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17645,7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1480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230,23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20629,44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1496,28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451,7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4819,66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37109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76613,64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274120,35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6319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143647,72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85448,9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62937,83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De Inversión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17792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20661,7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933,52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2724,88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1080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23065,39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75222,64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1134,83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4700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1747,53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5591,79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1297,04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46399,67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6805,21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17754,5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3185,73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Arrendamiento Y Licencias De Uso De Paquetes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49120,76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231568,01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50790,05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58241,17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730505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364,7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40921,51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1860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2898,74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8623,41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83571,73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2209,48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10537,11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530504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148119,4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Fiscalización E Inspecciones Técnicas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23710,23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6868,77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Fiscalización E Inspecciones Técnicas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10296,79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2336,78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Transporte De Personal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301,5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13012,46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4580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2708,8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9930,58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86723,25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5263,2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439,46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31993,83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246912,28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Arrendamiento Y Licencias De Uso De Paquetes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6600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2951,27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168834,8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19122,55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73,66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1330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19030,32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16361,89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530599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Arrendamientos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267,85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531404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47,33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29405,54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406795,96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3969,91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329,49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33215,51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7445,79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671555,39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52709,97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18132,07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Desarrollo De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4849,4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4168,6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7195,61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12100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3786,35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74863,81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53437,4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71541,48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3978,7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110239,27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5265,63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9887,27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Consultoría  Asesoría E Investigación Especializada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383,3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271,33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630,58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561,57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799,92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29113,58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6180,06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61943,43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5471,76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8591,15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10754,04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93228,41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18741,51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122026,63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1783,75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3640,49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2853,94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147609,42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49830,4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20762,55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2286,45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92277,1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3250000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23239,06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Transporte De Personal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6240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29,08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99341,03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2925,04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25148,3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17577,46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80,36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198755,8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4941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17523,97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96227,79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5423,03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267,86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199992,85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392,26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2500,25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Arrendamiento Y Licencias De Uso De Paquetes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369,6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31212,46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65710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62240,22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1760,34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34734,76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5563,56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Desarrollo De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60348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17270,37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70,31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20675,76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613629,76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69806,72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16639,54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55818,01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Desarrollo De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3220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9647,36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18203,81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127348,37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De Inversión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1751,14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64312,5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8597,3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4200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1591,85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22166,62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530502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3960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4562,09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730505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597,21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44813,43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19168,86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362300,55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Desarrollo De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17726,64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22080,67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101237,75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538511,12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166,07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74938,96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97398,04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698,4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123244,29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1555,22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54545,75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1705,38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3677,62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3933,6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95909,03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1024,54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13720,3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58046,14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1631,66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3813,79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86000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28226,22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89,25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93556,83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8260,72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25317,56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12675,8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9941,7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41132,79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52670,32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2345,09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3149,05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5451,74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De Inversión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57550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Consultoría  Asesoría E Investigación Especializada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7961,5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64612,94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2929284,55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898,16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87783,62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12387,31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25426,45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1683,02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241206,62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152,15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18415,16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16411,9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11799,85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1364,01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10627,3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4514,93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531403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15201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31159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6562,12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12825,17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175,75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113763,36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5860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56880,18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70828,51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16368,66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Estudio Y Diseño De Proyectos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66444,8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6746,74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599,17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201,95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1850,7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1778,97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2999,99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112701,89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3287,91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910,8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7084,38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3220,5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18630,24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7999,58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9202,7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141365,8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Fiscalización E Inspecciones Técnicas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731,22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39317,45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17528,43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76227,22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10515,5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12084,86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De Inversión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1420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36325,28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2467,88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6999,9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1949,1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135235,12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117,5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60940,79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2832,56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14786,14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866774,81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411146,17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384227,7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344463,8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2670,53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154419,77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47900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172029,53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3008,3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3285,77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17814,6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332027,28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1930,8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3262,98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4514,75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9499,48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90682,39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1367,35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161171,18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Didácticos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7155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151,51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Desarrollo De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179,66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5052,09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41403,53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21,61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162,41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1999,31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107075,7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394,92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7314,43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22821,51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1036,04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55931,25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12768,24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171,68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602282,32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16733,45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314,8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26022,79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Didácticos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215,6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249625,02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52642,97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3515,03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6333,32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4097,33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642316,5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1503,22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11227,89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830,4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226593,12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118448,95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12852,35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5287,84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8430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618,4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Didácticos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3839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3620,08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16636,84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375,76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7567,37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225,67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92,2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17063,34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6725,56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11677,27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75808,42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6098,64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80710,23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576,8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20588,84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6570,28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50317,53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119,68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176,77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102444,83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De Inversión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5993,9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Arrendamiento Y Licencias De Uso De Paquetes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6288,5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77572,74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10200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242,28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1296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79018,2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3384,27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3646,4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36006,9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456176,8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7120,1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9115,84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17398,27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8357,67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6562,27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17945,52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13455,68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23490,96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146,6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70278,47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22971,33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6765,86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2605,36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54226,25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2402,4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43082,14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11413,43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62,5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222328,91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2971,09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57064,86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180,3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198474,36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285029,73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325,5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4426,76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2483,26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18065,63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5013,43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9854,93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2511,79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63788,91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Didácticos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810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4046,3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51048,54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14393,01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11331,61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1017,95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12870,41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2912,7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17040,59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34011,49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Arrendamiento Y Licencias De Uso De Paquetes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8749,5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9677,02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21758,01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De Inversión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12252,05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34707,68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Arrendamiento Y Licencias De Uso De Paquetes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1134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730811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9960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13200,36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909,34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112698,65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13636,72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730505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3424,5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7840,31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32633,22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47000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85855,05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10098,39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36588,14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Consultoría  Asesoría E Investigación Especializada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10200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145770,03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26653,7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33559,2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4013,33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18407,93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710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6213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23526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7724,7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84141,72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8330,6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609221,43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99408,6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522,67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30695,79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146,41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De Inversión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11138,56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48913,61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2370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169873,96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12736,65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11630,92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231862,91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130,65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6891,7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39207,38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44300,85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26780,21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517,46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199989,09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10046,59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12841,03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530504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1790,76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15996,3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13920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454,33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1515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33731,22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96746,47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59576,16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79701,35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114938,83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1451,16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847,99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78840,5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4407,74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128,57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30796,94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39354,88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59174,83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820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615,91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11704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Desarrollo De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12005,23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11689,72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23528,88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61119,38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48762,52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Obligaciones Con El Iess Por Responsabilidad Patronal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4429,23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424059,45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531406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4320,42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345978,08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29676,13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6731,46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22691,94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33434,35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3715,54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580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2931,63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6483,16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23058,94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3180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7130,75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6964,08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4428,44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183,69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15760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2836,21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Consultoría  Asesoría E Investigación Especializada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2080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199859,68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18471,5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21536,38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730502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15980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Consultoría  Asesoría E Investigación Especializada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65058,68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4139,75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7732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1627,71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6052,8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163045,99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17828,33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6041,14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4340,69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41931,84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43248,44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1630,36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6440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9317,8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8205,5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Estudio Y Diseño De Proyectos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21979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2261,4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8600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357,39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63246,24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16326,39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21337,14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15872,65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71250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Desarrollo De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148302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38531,88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9200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122,58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5725,43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730209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1050,12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5395,66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29995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4604,76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De Inversión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8449,66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28659,13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1721,8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8078,6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348,89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53730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14539,74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3436635,27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349459,53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30640,45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7995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308551,72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1282,4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105864,13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15620,02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709,82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80,79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88065,3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7417,92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103046,21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28428,4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38160,24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1410,24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32196,03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71400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13655,64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Estudio Y Diseño De Proyectos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9080,15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24899,32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2976,01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2405,9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1702,43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495,5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23694,01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18162,68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5298,36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21033,02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9312,38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10003,6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36235,39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2715,5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8070,72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1380339,78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4949,26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11160,49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30226,67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46562,84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2354,51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5535,76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57762,26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21324,65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87101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27259,76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309,83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36552,37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729257,17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61589,45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115,54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3040,01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54987,13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1418,93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775,04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124694,99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49262,11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12668,35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530201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Transporte De Personal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39913,28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4419,6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3270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736,57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754695,85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17966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4497,7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149265,65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6137,31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494802,22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81867,56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7229,68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526,24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3995,04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10453,68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39690,46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771,97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2753,87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74377,7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Estudio Y Diseño De Proyectos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6805,2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21018,1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Obligaciones Con El Iess Por Coactivas Interpuestas Por El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4089,3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43003,33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5969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11126,04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15438,03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62931,16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32388,18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1295,39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16466,7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173,37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3769,81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108677,3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25177,24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98694,48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14882,46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440093,33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774,76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6964,02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98363,6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185,5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10611,27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2311,48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7156,07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652,54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154169,05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1724,9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6069,07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Transporte De Personal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54240,91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2686,52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211985,3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65330,23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15084,7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3001,14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183,4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111190,98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98816,43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730603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623,58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6784,64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5110,9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9488,83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118263,11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24765,04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4409,2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17355,27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4999,08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42575,55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24921,29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23174,04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16649,71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2410904,97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14229,64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267,55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2934,64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1154,52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2570,79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11063,71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Transporte De Personal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505,85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28931,86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248080,75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5371,26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1106,14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51590,8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2166,3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52805,36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28036,05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1471,44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Fiscalización E Inspecciones Técnicas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56528,58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238,32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44185,5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72181,37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37118,19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2198,22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4137,68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17796,7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469397,05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73026,77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504660,64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2129,66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7566,39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Indemnizaciones Por Sentencias Judiciales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3317,12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21475,58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3061,05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20741,3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2389,1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93621,7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9381,42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111171,58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75600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65292,39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Obligaciones Con El Iess Por Responsabilidad Patronal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2416,97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18876,09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9474,73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39721,49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89947,82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Consultoría  Asesoría E Investigación Especializada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Obligaciones Con El Iess Por Responsabilidad Patronal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1522,48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162553,52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248,1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51573,72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21688,47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730505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30561,69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1488,88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53736,11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698,8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85570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7521,4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Mudanzas E Instalaciones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111509,87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495818,42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32062,42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18452,29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104388,27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6191,71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7636,6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241202,41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1325,5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299038,07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1788,54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6600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54236,75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983,2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1038,8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217999,71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7542,15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2106,8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17594,46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1603,75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7505,5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91604,66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10215,48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6922,68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118,9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12640,62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1682,39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Fiscalización E Inspecciones Técnicas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2036,61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4440,33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3326,78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96013,37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2508,48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41655,46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28918,89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13897,91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867,34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Consultoría  Asesoría E Investigación Especializada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19120,82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1230,91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4032,88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360305,77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417272,35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110,7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210969,16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35917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46889,49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17467,24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1111,85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81357,08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5260,85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28547,41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60520,39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87958,11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562,47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362,32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156201,36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615010,78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15479,78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780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44271,83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2908,02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20447,06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881,89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14597,5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66679,5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2022,58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33712,02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12495,35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24650,94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6437,4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6438,77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2915,82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721,06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2923,71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7204,48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Didácticos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2811,27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183095,14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3471,6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530504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1447,11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3341,38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1217,47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Libros Y Colecciones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76,5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88257,8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79081,12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104167,73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16646,13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8929,54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18812,55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39662,56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27741,11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116375,64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75860,18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20527,7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95397,08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179,77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633,6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18353,27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19528,48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6344,09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73063,91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11759,7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22328,62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14214,17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Desarrollo De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427,86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26905,3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8817,01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1155,28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643,81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107,14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Transporte De Personal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2480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86251,12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116524,1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1370,36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10964,81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19245,8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76108,7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497,25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357638,97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2125,2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530503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201,5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102700,37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39054,84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201,17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303209,45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999,9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179675,32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8077,64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966,08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334,8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3713,75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16564,48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8714,01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2075497,07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9810,36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45937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16637,24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39796,31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48960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549,23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43882,81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340,64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1298,5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21006,76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634,91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62,5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34502,04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5006,67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58336,42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696241,17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3482,74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1263,3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19188,4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1419,85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111263,28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Desarrollo De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22386,23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19998,06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748,16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34463,64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25563,93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9355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3694,26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5512,5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2552,24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5095,14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3991,35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Obligaciones Con El Iess Por Responsabilidad Patronal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622,35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23570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3581,07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25157,2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531407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Equipos  Sistemas Y Paquetes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6738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4750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5330,76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730499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70,81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4715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249469,79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5980,31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10454,33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530502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10400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143134,42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20047,05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De Inversión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12625,03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11018,75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54383,82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31311,39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5151,05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11478,98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37406,58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9628,04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72237,47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399785,04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5318,63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De Inversión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5922,4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16507,72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10854,97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1841,42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3088,58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11334,02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415113,72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86954,46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6836,25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27527,95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1550,94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1810,92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5974,05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34158,73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2295,11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153,12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48664,52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4092,02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11634,79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4476,44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10745,9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11410,99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2977,9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3914,66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1427,12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4694,75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399,33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464527,91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570102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Tasas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353,17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10850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1495,18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10158,37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250,4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709,9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4058,13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8673,4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205768,23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6114,81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4020,25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44010,98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55813,9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164,52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5210,47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61862,32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13279,99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105443,78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1575,02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14687,94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387276,27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124460,23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Terrenos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196492,71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14630,56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77464,94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129794,15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58152,78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1003,23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62957,97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360,75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294066,16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326213,65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41598,2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42410,46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31442,9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11856,54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Desarrollo De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9988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1952,68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88819,14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1708,85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1160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902,99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Fiscalización E Inspecciones Técnicas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7453,68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589022,17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579,85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46982,86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530417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Infraestructura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54609,82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393,92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2790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5990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2023,76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44183,04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200285,56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2903,55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27655,72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44387,83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42369,68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896355,86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20997,49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133707,52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5445,26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16651,29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365706,58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10065,36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1176,02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11689,55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216618,6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4121,95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Terrenos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61994,46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20135,94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10541,6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1947,58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15140,47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43623,76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2398,43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10295,89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35335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16673,3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44594,58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149,25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Fiscalización E Inspecciones Técnicas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4692,07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40313,84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1025149,97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8905,68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39594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144930,57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999563,54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Consultoría  Asesoría E Investigación Especializada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162,28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164393,42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551621,12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54920,7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10903,79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5608,81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250,7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9943,63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46178,63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1810,44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370501,02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895,58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162,94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283590,42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Consultoría  Asesoría E Investigación Especializada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22525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416,4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630,16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29544,85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176887,03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9673,2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27752,54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2788,64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lastRenderedPageBreak/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3278,49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3394,45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1656,63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6365,38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144014,95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48954,99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531409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Libros Y Colecciones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5600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94721,51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890828,31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2878,42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4295,96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34950,78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852,47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13609,04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1432,37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20340,42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16673,8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93054,49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115,24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8939,75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41454,76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66944,56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127313,5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20419,29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853,3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34858,5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39382,2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6370,99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14311,44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9,62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1018,25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730505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9162,44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2418,99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86874,17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17625,39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120135,67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39489,6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5218,85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730502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13356,09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19121,15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15251,87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74315,3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30178,9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2058,64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18477,99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8102,69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850156,64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10025,25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63238,63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129633,36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4760,22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13411,5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10705,03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Desarrollo De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39661,08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8839,5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26271,31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24872,38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8020,13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9499,98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5699,94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650,65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14370,86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531403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2968,86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449507,66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18546,5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2865,77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16780,02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128815,57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1498,13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2172,45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16590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5168,74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91522,41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98222,02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8278,92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566,64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31711,78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43536,62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25325,22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34287,23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41548,07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19947,1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23073,36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19686,77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44242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38339,57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82460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2626,6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9315,22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146396,69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1490,22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1413,63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128703,57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185909,76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24008,04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398,22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730505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904,81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110977,45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1043,28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4399,12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135,82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823,48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53790,39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5268,92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954,42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12732,17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16196,82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9998,72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31710,79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1670,98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1910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22967,8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177021,95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397,7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1390,74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422,12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100033,85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16629,9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730505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968,4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23205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4596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1505,44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Fiscalización E Inspecciones Técnicas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13894,03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11756,65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730604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Fiscalización E Inspecciones Técnicas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40590,09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259787,87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46853,28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5974,95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1528464,84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1492,91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3035,4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188821,12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908,88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Fletes Y Maniobras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1183,78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14354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1791,05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Arrendamiento Y Licencias De Uso De Paquetes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2252,5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85481,02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2503,4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Consultoría  Asesoría E Investigación Especializada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620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194983,44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5590,47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2260,89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12494,06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24364,13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55386,01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7718,12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41167,91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295187,23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13474,64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150013,22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27,31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109376,88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162478,11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Arrendamiento Y Licencias De Uso De Paquetes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466,65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37659,69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1994,79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141,6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5421,39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26914,83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16485,09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460395,48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33425,14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379734,29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5979,59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82561,6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531403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10804,44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38825,42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7612,72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18092,9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4175,3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28212,93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3950,22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38768,55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6145,65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5394,2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328,91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Almacenamiento  Embalaje Y Envase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953,4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671,48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23919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3702,27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49037,41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Otras Instalaciones  Mantenimientos Y Reparaciones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4849,33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83029,05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1547,54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3597,88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144535,19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4590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162480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89271,73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14036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5653,99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6347,97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31876,56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497443,66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28266,73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95161,62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14998,59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49329,22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3372,8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25638,55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Terrenos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53279,69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1590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119079,7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111248,7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7468,24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1543,12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122073,23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8994,3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483167,6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1202,48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980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19749,34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4146,49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1184,55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1490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Arrendamiento Y Licencias De Uso De Paquetes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1490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2154,6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71,3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197390,46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Obligaciones Con El Iess Por Responsabilidad Patronal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13521,58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6669,81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217400,47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4775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46666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3065,87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2378,36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11156,19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1326,68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2008,57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1087,85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74405,24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9369,78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9076,37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2397,93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De Inversión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924,21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10325,8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88773,82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149184,39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11663,71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40972,27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74888,72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57552,94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118160,72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79961,54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20452,73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182309,31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938,11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10275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130295,77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14064,89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14990,2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33131,6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Obligaciones Con El Iess Por Responsabilidad Patronal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730,36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Transporte De Personal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74233,13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14000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178018,21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6153,44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5464,11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1926,98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7949,08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6513,82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29646,68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36288,25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3044,04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56686,38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21976,48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25836,6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82045,31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Energía Eléctrica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73528,64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1543,5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Obligaciones Con El Iess Por Responsabilidad Patronal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2141,07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1056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7516,62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18515,25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35817,57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3423,78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39270,96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6045,23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18270,65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691,53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1740,2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530505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12437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De Inversión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10575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393837,4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Obligaciones Con El Iess Por Responsabilidad Patronal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4730,61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1148,05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5403,9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570218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Intereses Por Mora Patronal Al Iess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116,58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6245,7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56849,13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Mobiliarios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1200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75943,24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5008,72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2230,26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Estudio Y Diseño De Proyectos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9200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4118,81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8594,96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De Uso Y Consumo Corriente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9732,18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18730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75879,75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586,79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4096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37195,67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Agua Potable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16479,46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Alimentos Y Bebidas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5168,92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68913,86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45892,38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530504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5076,76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336692,23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4182,58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11531,25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4222,4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34799,35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Correo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388,91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530603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Capacitación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175,75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315,61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Viáticos Y Subsistencias En El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Impresión  Fotografía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2901,9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Combustibles Y Lubricantes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662,71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Maquinarias Y Equipos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5993,08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1403,43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Aseo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9077,32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Instrumental Médico Menor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661,5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3928,96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Construcción  Eléctricos  Plomería Y Carpintería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112,44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De Oficina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1639,71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530301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Pasajes Al Interior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Repuestos Y Accesorios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1196,52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570203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Comisiones Bancarias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1,66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530704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Mantenimiento Y Reparación De Equipos Y Sistemas Informáticos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631,5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530105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Telecomunicaciones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7363,45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Edificios  Locales Y Residencias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27,23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Servicio De Seguridad Y Vigilancia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31200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Difusión  Información Y Publicidad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399,2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Vestuario  Lencería Y Prendas De Protección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4790,28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1583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Medicinas Y Productos Farmacéuticos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3416,92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530204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Edición  Impresión  Reproducción Y Publicaciones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50,64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Vehículos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2018,29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530810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Materiales Para Laboratorio Y Uso Médico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9842,98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530806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Herramientas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29,5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530299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745582" w:rsidP="000C6BE0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5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Otros Servicios Generales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C6BE0" w:rsidRPr="000C6BE0" w:rsidRDefault="000C6BE0" w:rsidP="000C6BE0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color w:val="000000"/>
                      <w:sz w:val="18"/>
                      <w:szCs w:val="18"/>
                      <w:lang w:val="es-EC" w:eastAsia="es-EC"/>
                    </w:rPr>
                    <w:t>1075,35</w:t>
                  </w:r>
                </w:p>
              </w:tc>
            </w:tr>
            <w:tr w:rsidR="000C6BE0" w:rsidRPr="000C6BE0" w:rsidTr="000C6BE0">
              <w:trPr>
                <w:trHeight w:val="300"/>
              </w:trPr>
              <w:tc>
                <w:tcPr>
                  <w:tcW w:w="75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0C6BE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Total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C6BE0" w:rsidRPr="000C6BE0" w:rsidRDefault="000C6BE0" w:rsidP="000C6BE0">
                  <w:pP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</w:t>
                  </w:r>
                  <w:r w:rsidRPr="000C6BE0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 xml:space="preserve">           120.725.475,68 </w:t>
                  </w:r>
                </w:p>
              </w:tc>
            </w:tr>
          </w:tbl>
          <w:p w:rsidR="000C6BE0" w:rsidRPr="003A1E53" w:rsidRDefault="000C6BE0" w:rsidP="000C6BE0">
            <w:pPr>
              <w:spacing w:before="120" w:after="120"/>
              <w:rPr>
                <w:rFonts w:asciiTheme="minorHAnsi" w:hAnsiTheme="minorHAnsi" w:cs="Arial"/>
                <w:szCs w:val="22"/>
              </w:rPr>
            </w:pPr>
            <w:r w:rsidRPr="003A1E53">
              <w:rPr>
                <w:rFonts w:asciiTheme="minorHAnsi" w:hAnsiTheme="minorHAnsi" w:cs="Arial"/>
                <w:szCs w:val="22"/>
              </w:rPr>
              <w:t>El valor obtenido de la sumatoria de las partidas presupuestarias correspondientes a P.2 debe ser convertida a miles de dólares aplicando la siguiente fórmula:</w:t>
            </w:r>
          </w:p>
          <w:p w:rsidR="000C6BE0" w:rsidRPr="003A1E53" w:rsidRDefault="000C6BE0" w:rsidP="000C6BE0">
            <w:pPr>
              <w:spacing w:before="120" w:after="120"/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</w:pPr>
            <w:r w:rsidRPr="003A1E53"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  <w:t>=ENTERO(((120.725.475,68)/1000)+0,5)</w:t>
            </w:r>
          </w:p>
          <w:p w:rsidR="00384BA7" w:rsidRDefault="000C6BE0" w:rsidP="005E3C40">
            <w:pPr>
              <w:spacing w:before="120" w:after="120"/>
              <w:rPr>
                <w:rFonts w:asciiTheme="minorHAnsi" w:hAnsiTheme="minorHAnsi" w:cs="Arial"/>
                <w:szCs w:val="22"/>
                <w:lang w:val="es-EC"/>
              </w:rPr>
            </w:pPr>
            <w:r w:rsidRPr="003A1E53">
              <w:rPr>
                <w:rFonts w:asciiTheme="minorHAnsi" w:hAnsiTheme="minorHAnsi" w:cs="Arial"/>
                <w:szCs w:val="22"/>
                <w:lang w:val="es-EC"/>
              </w:rPr>
              <w:t>=120.725 valores que se coloca en la cuenta corriente, como se observa en el punto 3. “Estructura de la cuenta”.</w:t>
            </w:r>
          </w:p>
          <w:p w:rsidR="00235796" w:rsidRPr="000C6BE0" w:rsidRDefault="00235796" w:rsidP="005E3C40">
            <w:pPr>
              <w:spacing w:before="120" w:after="120"/>
              <w:rPr>
                <w:rFonts w:asciiTheme="minorHAnsi" w:hAnsiTheme="minorHAnsi" w:cs="Arial"/>
                <w:szCs w:val="22"/>
                <w:lang w:val="es-EC"/>
              </w:rPr>
            </w:pP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lastRenderedPageBreak/>
              <w:t>B.1b Valor agregado bruto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4713AB" w:rsidRPr="004713AB" w:rsidRDefault="004713AB" w:rsidP="004713AB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Esta variable se calcula de la siguiente manera:</w:t>
            </w:r>
          </w:p>
          <w:p w:rsidR="004713AB" w:rsidRPr="004713AB" w:rsidRDefault="004713AB" w:rsidP="004713AB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VAB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=P.1-Ci</m:t>
                </m:r>
              </m:oMath>
            </m:oMathPara>
          </w:p>
          <w:p w:rsidR="004713AB" w:rsidRPr="004713AB" w:rsidRDefault="004713AB" w:rsidP="004713AB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VAB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=Producción-Consumo intermedio</m:t>
                </m:r>
              </m:oMath>
            </m:oMathPara>
          </w:p>
          <w:p w:rsidR="007734BE" w:rsidRDefault="004713AB" w:rsidP="007734BE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="Calibri" w:hAnsi="Calibri"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>VAB</m:t>
              </m:r>
              <m: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>=</m:t>
              </m:r>
            </m:oMath>
            <w:r w:rsidR="007734BE">
              <w:rPr>
                <w:rFonts w:ascii="Calibri" w:hAnsi="Calibri"/>
                <w:color w:val="000000"/>
                <w:szCs w:val="22"/>
              </w:rPr>
              <w:t>454.039</w:t>
            </w:r>
            <m:oMath>
              <m:r>
                <w:rPr>
                  <w:rFonts w:ascii="Cambria Math" w:hAnsi="Cambria Math"/>
                  <w:color w:val="000000"/>
                  <w:szCs w:val="22"/>
                </w:rPr>
                <m:t>-</m:t>
              </m:r>
            </m:oMath>
            <w:r w:rsidR="007734BE">
              <w:rPr>
                <w:rFonts w:ascii="Calibri" w:hAnsi="Calibri"/>
                <w:color w:val="000000"/>
                <w:szCs w:val="22"/>
              </w:rPr>
              <w:t>120.725</w:t>
            </w:r>
          </w:p>
          <w:p w:rsidR="00B81B15" w:rsidRPr="003841A1" w:rsidRDefault="004713AB" w:rsidP="00235796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Cs w:val="22"/>
                </w:rPr>
                <m:t>VAB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2"/>
                </w:rPr>
                <m:t>=</m:t>
              </m:r>
            </m:oMath>
            <w:r w:rsidR="007734BE">
              <w:rPr>
                <w:rFonts w:ascii="Calibri" w:hAnsi="Calibri"/>
                <w:b/>
                <w:bCs/>
                <w:color w:val="000000"/>
                <w:szCs w:val="22"/>
              </w:rPr>
              <w:t>333.314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 xml:space="preserve">P.51c </w:t>
            </w:r>
            <w:r w:rsidR="005455EC"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/>
                <w:szCs w:val="22"/>
              </w:rPr>
              <w:t>Consumo de capital fijo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B81B15" w:rsidRDefault="00603C5F" w:rsidP="005E3C40">
            <w:pPr>
              <w:spacing w:before="120" w:after="120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La metodología de cálculo para esta variable se la encuentra</w:t>
            </w:r>
            <w:r w:rsidR="003841A1"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 xml:space="preserve"> detallada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 xml:space="preserve"> en la ficha metodológica de Consumo de capital fijo.</w:t>
            </w:r>
          </w:p>
          <w:p w:rsidR="00384BA7" w:rsidRPr="00235796" w:rsidRDefault="003841A1" w:rsidP="005E3C40">
            <w:pPr>
              <w:spacing w:before="120" w:after="120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CCF =</w:t>
            </w:r>
            <w:r w:rsidR="007734BE"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58.541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>B.1n Valor agregado neto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3841A1" w:rsidRPr="004713AB" w:rsidRDefault="003841A1" w:rsidP="003841A1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Esta variable se calcula de la siguiente manera:</w:t>
            </w:r>
          </w:p>
          <w:p w:rsidR="003841A1" w:rsidRPr="004713AB" w:rsidRDefault="003841A1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=VAB-CCF</m:t>
                </m:r>
              </m:oMath>
            </m:oMathPara>
          </w:p>
          <w:p w:rsidR="003841A1" w:rsidRPr="004713AB" w:rsidRDefault="003841A1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=Valor agregado bruto- Consumo de capital fijo</m:t>
                </m:r>
              </m:oMath>
            </m:oMathPara>
          </w:p>
          <w:p w:rsidR="003841A1" w:rsidRPr="009F6F68" w:rsidRDefault="003841A1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 xml:space="preserve">=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Cs w:val="22"/>
                  </w:rPr>
                  <m:t xml:space="preserve">333.314 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Cs w:val="22"/>
                  </w:rPr>
                  <m:t>58.541</m:t>
                </m:r>
              </m:oMath>
            </m:oMathPara>
          </w:p>
          <w:p w:rsidR="00384BA7" w:rsidRPr="00235796" w:rsidRDefault="003841A1" w:rsidP="003841A1">
            <w:pPr>
              <w:spacing w:before="120" w:after="120"/>
              <w:rPr>
                <w:rFonts w:asciiTheme="minorHAnsi" w:eastAsiaTheme="minorEastAsia" w:hAnsiTheme="minorHAnsi" w:cs="Arial"/>
                <w:b/>
                <w:bCs/>
                <w:color w:val="000000"/>
                <w:sz w:val="18"/>
                <w:szCs w:val="18"/>
                <w:lang w:val="es-EC" w:eastAsia="es-EC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Cs w:val="22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18"/>
                    <w:szCs w:val="18"/>
                    <w:lang w:val="es-EC" w:eastAsia="es-EC"/>
                  </w:rPr>
                  <m:t>274.773</m:t>
                </m:r>
              </m:oMath>
            </m:oMathPara>
          </w:p>
        </w:tc>
      </w:tr>
      <w:tr w:rsidR="007B36A2" w:rsidRPr="00080CCB" w:rsidTr="00384BA7">
        <w:trPr>
          <w:jc w:val="center"/>
        </w:trPr>
        <w:tc>
          <w:tcPr>
            <w:tcW w:w="9054" w:type="dxa"/>
            <w:gridSpan w:val="4"/>
            <w:tcBorders>
              <w:bottom w:val="threeDEmboss" w:sz="18" w:space="0" w:color="FFFFFF" w:themeColor="background1"/>
            </w:tcBorders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7.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LIMITACIONES TÉCNICAS</w:t>
            </w:r>
          </w:p>
        </w:tc>
      </w:tr>
      <w:tr w:rsidR="007B36A2" w:rsidRPr="00080CCB" w:rsidTr="00384BA7">
        <w:trPr>
          <w:jc w:val="center"/>
        </w:trPr>
        <w:tc>
          <w:tcPr>
            <w:tcW w:w="9054" w:type="dxa"/>
            <w:gridSpan w:val="4"/>
            <w:shd w:val="clear" w:color="auto" w:fill="FFFFFF" w:themeFill="background1"/>
            <w:vAlign w:val="center"/>
          </w:tcPr>
          <w:p w:rsidR="004713AB" w:rsidRPr="00384BA7" w:rsidRDefault="004713AB" w:rsidP="00384BA7">
            <w:pPr>
              <w:shd w:val="clear" w:color="auto" w:fill="FFFFFF" w:themeFill="background1"/>
              <w:rPr>
                <w:rFonts w:asciiTheme="minorHAnsi" w:hAnsiTheme="minorHAnsi" w:cs="Arial"/>
                <w:color w:val="FFFFFF" w:themeColor="background1"/>
              </w:rPr>
            </w:pPr>
          </w:p>
          <w:p w:rsidR="004713AB" w:rsidRPr="00384BA7" w:rsidRDefault="00113CD6" w:rsidP="00384BA7">
            <w:pPr>
              <w:shd w:val="clear" w:color="auto" w:fill="FFFFFF" w:themeFill="background1"/>
              <w:rPr>
                <w:rFonts w:asciiTheme="minorHAnsi" w:hAnsiTheme="minorHAnsi" w:cs="Arial"/>
              </w:rPr>
            </w:pPr>
            <w:r w:rsidRPr="00384BA7">
              <w:rPr>
                <w:rFonts w:asciiTheme="minorHAnsi" w:hAnsiTheme="minorHAnsi" w:cs="Arial"/>
              </w:rPr>
              <w:t xml:space="preserve">Las entidades que suministran la información de Base (registros administrativos), se nieguen a proporcionar  o  </w:t>
            </w:r>
            <w:r w:rsidR="00384BA7">
              <w:rPr>
                <w:rFonts w:asciiTheme="minorHAnsi" w:hAnsiTheme="minorHAnsi" w:cs="Arial"/>
              </w:rPr>
              <w:t>no entreg</w:t>
            </w:r>
            <w:r w:rsidR="003A1E53">
              <w:rPr>
                <w:rFonts w:asciiTheme="minorHAnsi" w:hAnsiTheme="minorHAnsi" w:cs="Arial"/>
              </w:rPr>
              <w:t>u</w:t>
            </w:r>
            <w:r w:rsidR="00384BA7" w:rsidRPr="003A1E53">
              <w:rPr>
                <w:rFonts w:asciiTheme="minorHAnsi" w:hAnsiTheme="minorHAnsi" w:cs="Arial"/>
              </w:rPr>
              <w:t>e</w:t>
            </w:r>
            <w:r w:rsidRPr="003A1E53">
              <w:rPr>
                <w:rFonts w:asciiTheme="minorHAnsi" w:hAnsiTheme="minorHAnsi" w:cs="Arial"/>
              </w:rPr>
              <w:t>n</w:t>
            </w:r>
            <w:r w:rsidRPr="00384BA7">
              <w:rPr>
                <w:rFonts w:asciiTheme="minorHAnsi" w:hAnsiTheme="minorHAnsi" w:cs="Arial"/>
              </w:rPr>
              <w:t xml:space="preserve"> en tiempo establecido.</w:t>
            </w:r>
          </w:p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UNIDAD DE MEDIDA O EXPRESIÓN DEL INDICADOR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Miles de dólares </w:t>
            </w:r>
          </w:p>
        </w:tc>
      </w:tr>
      <w:tr w:rsidR="007B36A2" w:rsidRPr="00080CCB" w:rsidTr="00384BA7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INTERPRETACIÓN DEL INDICADOR</w:t>
            </w:r>
          </w:p>
        </w:tc>
        <w:tc>
          <w:tcPr>
            <w:tcW w:w="3984" w:type="dxa"/>
            <w:gridSpan w:val="2"/>
            <w:shd w:val="clear" w:color="auto" w:fill="FFFFFF" w:themeFill="background1"/>
            <w:vAlign w:val="center"/>
          </w:tcPr>
          <w:p w:rsidR="007B36A2" w:rsidRPr="00326516" w:rsidRDefault="003A1E53" w:rsidP="00C332B3">
            <w:pPr>
              <w:rPr>
                <w:rFonts w:asciiTheme="minorHAnsi" w:hAnsiTheme="minorHAnsi" w:cs="Arial"/>
                <w:szCs w:val="22"/>
                <w:lang w:val="es-EC"/>
              </w:rPr>
            </w:pPr>
            <w:r w:rsidRPr="00BA5D47">
              <w:rPr>
                <w:rFonts w:asciiTheme="minorHAnsi" w:hAnsiTheme="minorHAnsi" w:cs="Arial"/>
                <w:szCs w:val="22"/>
                <w:lang w:val="es-EC"/>
              </w:rPr>
              <w:t>No aplica</w:t>
            </w:r>
          </w:p>
        </w:tc>
      </w:tr>
      <w:tr w:rsidR="007B36A2" w:rsidRPr="00080CCB" w:rsidTr="00384BA7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FUENTE DE DATOS</w:t>
            </w:r>
          </w:p>
        </w:tc>
        <w:tc>
          <w:tcPr>
            <w:tcW w:w="3984" w:type="dxa"/>
            <w:gridSpan w:val="2"/>
            <w:shd w:val="clear" w:color="auto" w:fill="FFFFFF" w:themeFill="background1"/>
            <w:vAlign w:val="center"/>
          </w:tcPr>
          <w:p w:rsidR="007B36A2" w:rsidRPr="00384BA7" w:rsidRDefault="00384BA7" w:rsidP="00384BA7">
            <w:pPr>
              <w:spacing w:before="120" w:after="120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384BA7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Ministerio de Finanzas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PERIODICIDAD DEL INDICADOR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Anual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DISPONIBILIDAD DE LOS DATOS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8C5E29">
            <w:pPr>
              <w:jc w:val="both"/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Existe un riesgo al no disponer de un convenio con las Instituciones que entregan la información</w:t>
            </w:r>
            <w:r w:rsidR="008C5E29">
              <w:rPr>
                <w:rFonts w:asciiTheme="minorHAnsi" w:hAnsiTheme="minorHAnsi" w:cs="Arial"/>
                <w:szCs w:val="22"/>
              </w:rPr>
              <w:t>.</w:t>
            </w:r>
          </w:p>
        </w:tc>
      </w:tr>
      <w:tr w:rsidR="007B36A2" w:rsidRPr="00080CCB" w:rsidTr="00EB3D0B">
        <w:trPr>
          <w:jc w:val="center"/>
        </w:trPr>
        <w:tc>
          <w:tcPr>
            <w:tcW w:w="3056" w:type="dxa"/>
            <w:vMerge w:val="restart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hAnsiTheme="minorHAnsi" w:cs="Arial"/>
                <w:b/>
                <w:bCs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NIVEL DE</w:t>
            </w:r>
          </w:p>
          <w:p w:rsidR="00384BA7" w:rsidRDefault="00384BA7" w:rsidP="005E3C40">
            <w:pPr>
              <w:spacing w:before="60" w:after="60"/>
              <w:rPr>
                <w:rFonts w:asciiTheme="minorHAnsi" w:hAnsiTheme="minorHAnsi" w:cs="Arial"/>
                <w:b/>
                <w:bCs/>
                <w:szCs w:val="22"/>
              </w:rPr>
            </w:pPr>
          </w:p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DESAGREGACIÓN</w:t>
            </w:r>
          </w:p>
        </w:tc>
        <w:tc>
          <w:tcPr>
            <w:tcW w:w="2014" w:type="dxa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GEOGRÁFICO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8C5E29" w:rsidRDefault="007B36A2" w:rsidP="008C5E29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Nacional</w:t>
            </w:r>
          </w:p>
        </w:tc>
      </w:tr>
      <w:tr w:rsidR="007B36A2" w:rsidRPr="00080CCB" w:rsidTr="00EB3D0B">
        <w:trPr>
          <w:jc w:val="center"/>
        </w:trPr>
        <w:tc>
          <w:tcPr>
            <w:tcW w:w="3056" w:type="dxa"/>
            <w:vMerge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</w:p>
        </w:tc>
        <w:tc>
          <w:tcPr>
            <w:tcW w:w="2014" w:type="dxa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GENERAL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8C5E29" w:rsidRDefault="00C55688" w:rsidP="008C5E29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Sectores institucionales</w:t>
            </w:r>
          </w:p>
        </w:tc>
      </w:tr>
      <w:tr w:rsidR="007B36A2" w:rsidRPr="00080CCB" w:rsidTr="00EB3D0B">
        <w:trPr>
          <w:jc w:val="center"/>
        </w:trPr>
        <w:tc>
          <w:tcPr>
            <w:tcW w:w="3056" w:type="dxa"/>
            <w:vMerge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hAnsiTheme="minorHAnsi" w:cs="Arial"/>
                <w:b/>
                <w:bCs/>
                <w:szCs w:val="22"/>
              </w:rPr>
            </w:pPr>
          </w:p>
        </w:tc>
        <w:tc>
          <w:tcPr>
            <w:tcW w:w="2014" w:type="dxa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OTROS ÁMBITOS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8C5E29" w:rsidRDefault="00C55688" w:rsidP="008C5E29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Unidades institucionales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INFORMACIÓN GEO–REFERENCIADA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No</w:t>
            </w:r>
            <w:r w:rsidR="00C55688">
              <w:rPr>
                <w:rFonts w:asciiTheme="minorHAnsi" w:hAnsiTheme="minorHAnsi" w:cs="Arial"/>
                <w:szCs w:val="22"/>
              </w:rPr>
              <w:t xml:space="preserve"> aplica</w:t>
            </w:r>
          </w:p>
        </w:tc>
      </w:tr>
      <w:tr w:rsidR="007B36A2" w:rsidRPr="00080CCB" w:rsidTr="00EB3D0B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RELACIÓN CON INSTRUMENTOS DE PLANIFICACIÓN NACIONAL E INTERNACIONAL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113CD6" w:rsidRPr="00951384" w:rsidRDefault="00113CD6" w:rsidP="00384BA7">
            <w:pPr>
              <w:spacing w:before="120" w:after="120"/>
              <w:mirrorIndents/>
              <w:jc w:val="both"/>
              <w:rPr>
                <w:rFonts w:asciiTheme="minorHAnsi" w:hAnsiTheme="minorHAnsi" w:cs="Arial"/>
                <w:szCs w:val="22"/>
                <w:lang w:val="es-EC"/>
              </w:rPr>
            </w:pPr>
            <w:r w:rsidRPr="002B0E79">
              <w:rPr>
                <w:rFonts w:asciiTheme="minorHAnsi" w:hAnsiTheme="minorHAnsi" w:cs="Arial"/>
                <w:szCs w:val="22"/>
                <w:lang w:val="es-EC"/>
              </w:rPr>
              <w:t>Es</w:t>
            </w:r>
            <w:r w:rsidRPr="00951384">
              <w:rPr>
                <w:rFonts w:asciiTheme="minorHAnsi" w:hAnsiTheme="minorHAnsi" w:cs="Arial"/>
                <w:szCs w:val="22"/>
                <w:lang w:val="es-EC"/>
              </w:rPr>
              <w:t xml:space="preserve"> una herramienta estadística  importante para la formulación, implementación y evaluación de las políticas del gobierno, contribuye al cumplimiento de los objetivos del Plan Nacional del Buen Vivir 2013-2017. </w:t>
            </w:r>
          </w:p>
          <w:p w:rsidR="00113CD6" w:rsidRPr="00951384" w:rsidRDefault="00113CD6" w:rsidP="00384BA7">
            <w:pPr>
              <w:spacing w:before="120" w:after="120"/>
              <w:mirrorIndents/>
              <w:jc w:val="both"/>
              <w:rPr>
                <w:rFonts w:asciiTheme="minorHAnsi" w:hAnsiTheme="minorHAnsi" w:cs="Arial"/>
                <w:szCs w:val="22"/>
                <w:lang w:val="es-EC"/>
              </w:rPr>
            </w:pPr>
            <w:r w:rsidRPr="00951384">
              <w:rPr>
                <w:rFonts w:asciiTheme="minorHAnsi" w:hAnsiTheme="minorHAnsi" w:cs="Arial"/>
                <w:szCs w:val="22"/>
                <w:lang w:val="es-EC"/>
              </w:rPr>
              <w:t>El Objetivo 1 “Consolidar el Estado democrático y la construcción del poder popular” alineado a las Políticas y lineamientos estratégicos siguientes:</w:t>
            </w:r>
          </w:p>
          <w:p w:rsidR="007B36A2" w:rsidRDefault="00113CD6" w:rsidP="00384BA7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  <w:lang w:val="es-EC"/>
              </w:rPr>
            </w:pPr>
            <w:r w:rsidRPr="00257061">
              <w:rPr>
                <w:rFonts w:asciiTheme="minorHAnsi" w:eastAsia="Calibri" w:hAnsiTheme="minorHAnsi"/>
                <w:i/>
                <w:iCs/>
                <w:szCs w:val="22"/>
                <w:lang w:val="es-EC" w:eastAsia="es-EC"/>
              </w:rPr>
              <w:t>Objetivo 2</w:t>
            </w:r>
            <w:r w:rsidRPr="00257061">
              <w:rPr>
                <w:rFonts w:asciiTheme="minorHAnsi" w:eastAsia="Calibri" w:hAnsiTheme="minorHAnsi"/>
                <w:szCs w:val="22"/>
                <w:lang w:val="es-EC" w:eastAsia="es-EC"/>
              </w:rPr>
              <w:t>: “Auspiciar la igualdad, la cohesión, la inclusión y la equidad social y territorial, en la diversidad”</w:t>
            </w:r>
            <w:r w:rsidRPr="00951384">
              <w:rPr>
                <w:rFonts w:asciiTheme="minorHAnsi" w:hAnsiTheme="minorHAnsi" w:cs="Arial"/>
                <w:szCs w:val="22"/>
                <w:lang w:val="es-EC"/>
              </w:rPr>
              <w:t>.</w:t>
            </w:r>
          </w:p>
          <w:p w:rsidR="00384BA7" w:rsidRPr="008C5E29" w:rsidRDefault="00384BA7" w:rsidP="00384BA7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  <w:lang w:val="es-EC"/>
              </w:rPr>
            </w:pP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REFERENCIAS BIBLIOGRÁFICAS DE LA CONSTRUCCIÓN DEL INDICADOR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E4291B" w:rsidP="00E4291B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  <w:lang w:val="es-EC"/>
              </w:rPr>
              <w:t xml:space="preserve">Naciones Unidas. </w:t>
            </w:r>
            <w:r w:rsidR="007B36A2" w:rsidRPr="008C5E29">
              <w:rPr>
                <w:rFonts w:asciiTheme="minorHAnsi" w:hAnsiTheme="minorHAnsi" w:cs="Arial"/>
                <w:szCs w:val="22"/>
                <w:lang w:val="es-EC"/>
              </w:rPr>
              <w:t>Sistema de Cuentas Nacionales 2008 (SCN 2008)</w:t>
            </w:r>
            <w:r w:rsidRPr="008C5E29">
              <w:rPr>
                <w:rFonts w:asciiTheme="minorHAnsi" w:hAnsiTheme="minorHAnsi" w:cs="Arial"/>
                <w:szCs w:val="22"/>
                <w:lang w:val="es-EC"/>
              </w:rPr>
              <w:t>.</w:t>
            </w:r>
            <w:r w:rsidR="007B36A2">
              <w:rPr>
                <w:rFonts w:eastAsiaTheme="minorHAnsi"/>
                <w:sz w:val="20"/>
                <w:lang w:val="es-EC"/>
              </w:rPr>
              <w:t xml:space="preserve"> </w:t>
            </w:r>
          </w:p>
        </w:tc>
      </w:tr>
      <w:tr w:rsidR="007B36A2" w:rsidRPr="00080CCB" w:rsidTr="00384BA7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FECHA DE ELABORACIÓN DE LA FICHA METODOLÓGICA</w:t>
            </w:r>
          </w:p>
        </w:tc>
        <w:tc>
          <w:tcPr>
            <w:tcW w:w="3984" w:type="dxa"/>
            <w:gridSpan w:val="2"/>
            <w:shd w:val="clear" w:color="auto" w:fill="FFFFFF" w:themeFill="background1"/>
            <w:vAlign w:val="center"/>
          </w:tcPr>
          <w:p w:rsidR="007B36A2" w:rsidRPr="00080CCB" w:rsidRDefault="00384BA7" w:rsidP="000A5B0A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28</w:t>
            </w:r>
            <w:r w:rsidR="007B36A2">
              <w:rPr>
                <w:rFonts w:asciiTheme="minorHAnsi" w:hAnsiTheme="minorHAnsi" w:cs="Arial"/>
                <w:szCs w:val="22"/>
              </w:rPr>
              <w:t>/11/2015</w:t>
            </w:r>
          </w:p>
        </w:tc>
      </w:tr>
      <w:tr w:rsidR="007B36A2" w:rsidRPr="00080CCB" w:rsidTr="00384BA7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FECHA DE LA ÚLTIMA ACTUALIZACIÓN DE LA FICHA METODOLÓGICA</w:t>
            </w:r>
          </w:p>
        </w:tc>
        <w:tc>
          <w:tcPr>
            <w:tcW w:w="3984" w:type="dxa"/>
            <w:gridSpan w:val="2"/>
            <w:shd w:val="clear" w:color="auto" w:fill="FFFFFF" w:themeFill="background1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7B36A2" w:rsidRPr="00080CCB" w:rsidTr="00EB3D0B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CLASIFICADOR TEMÁTICO ESTADÍSTICO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Default="007B36A2" w:rsidP="00606170">
            <w:pPr>
              <w:spacing w:before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Dominio 1: 1.4 Salud</w:t>
            </w:r>
          </w:p>
          <w:p w:rsidR="007B36A2" w:rsidRPr="00080CCB" w:rsidRDefault="007B36A2" w:rsidP="00606170">
            <w:pPr>
              <w:spacing w:after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Dominio 2: 2.2 Cuentas económicas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ELABORADO POR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0B451E" w:rsidP="008C5E29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Miembros de Equipo ASIN</w:t>
            </w:r>
          </w:p>
        </w:tc>
      </w:tr>
      <w:tr w:rsidR="009C448A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9C448A" w:rsidRPr="00080CCB" w:rsidRDefault="009C448A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REVISADO POR</w:t>
            </w:r>
          </w:p>
        </w:tc>
        <w:tc>
          <w:tcPr>
            <w:tcW w:w="3984" w:type="dxa"/>
            <w:gridSpan w:val="2"/>
            <w:vAlign w:val="center"/>
          </w:tcPr>
          <w:p w:rsidR="009C448A" w:rsidRDefault="009C448A" w:rsidP="008C5E29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María Soledad Carvajal Ruiz</w:t>
            </w:r>
          </w:p>
        </w:tc>
      </w:tr>
      <w:tr w:rsidR="009C448A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9C448A" w:rsidRDefault="009C448A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APROBADO POR</w:t>
            </w:r>
          </w:p>
        </w:tc>
        <w:tc>
          <w:tcPr>
            <w:tcW w:w="3984" w:type="dxa"/>
            <w:gridSpan w:val="2"/>
            <w:vAlign w:val="center"/>
          </w:tcPr>
          <w:p w:rsidR="009C448A" w:rsidRDefault="009C448A" w:rsidP="008C5E29">
            <w:pPr>
              <w:rPr>
                <w:rFonts w:asciiTheme="minorHAnsi" w:hAnsiTheme="minorHAnsi" w:cs="Arial"/>
                <w:szCs w:val="22"/>
              </w:rPr>
            </w:pPr>
            <w:r w:rsidRPr="003A1E53">
              <w:rPr>
                <w:rFonts w:asciiTheme="minorHAnsi" w:hAnsiTheme="minorHAnsi" w:cs="Arial"/>
                <w:szCs w:val="22"/>
              </w:rPr>
              <w:t>Jaime</w:t>
            </w:r>
            <w:r>
              <w:rPr>
                <w:rFonts w:asciiTheme="minorHAnsi" w:hAnsiTheme="minorHAnsi" w:cs="Arial"/>
                <w:szCs w:val="22"/>
              </w:rPr>
              <w:t xml:space="preserve">  </w:t>
            </w:r>
            <w:r w:rsidR="00EB3D0B" w:rsidRPr="00EB3D0B">
              <w:rPr>
                <w:rFonts w:asciiTheme="minorHAnsi" w:hAnsiTheme="minorHAnsi" w:cs="Arial"/>
                <w:szCs w:val="22"/>
              </w:rPr>
              <w:t>Gerardo</w:t>
            </w:r>
            <w:r>
              <w:rPr>
                <w:rFonts w:asciiTheme="minorHAnsi" w:hAnsiTheme="minorHAnsi" w:cs="Arial"/>
                <w:szCs w:val="22"/>
              </w:rPr>
              <w:t xml:space="preserve"> Salcedo Bastidas</w:t>
            </w:r>
          </w:p>
        </w:tc>
      </w:tr>
    </w:tbl>
    <w:p w:rsidR="007D52DD" w:rsidRPr="00080CCB" w:rsidRDefault="007D52DD" w:rsidP="007D52DD">
      <w:pPr>
        <w:rPr>
          <w:rFonts w:asciiTheme="minorHAnsi" w:hAnsiTheme="minorHAnsi"/>
          <w:sz w:val="22"/>
          <w:szCs w:val="22"/>
        </w:rPr>
      </w:pPr>
    </w:p>
    <w:tbl>
      <w:tblPr>
        <w:tblStyle w:val="Tablaconcuadrcula"/>
        <w:tblW w:w="0" w:type="auto"/>
        <w:tblBorders>
          <w:top w:val="threeDEmboss" w:sz="18" w:space="0" w:color="FFFFFF" w:themeColor="background1"/>
          <w:left w:val="threeDEmboss" w:sz="18" w:space="0" w:color="FFFFFF" w:themeColor="background1"/>
          <w:bottom w:val="threeDEmboss" w:sz="18" w:space="0" w:color="FFFFFF" w:themeColor="background1"/>
          <w:right w:val="threeDEmboss" w:sz="18" w:space="0" w:color="FFFFFF" w:themeColor="background1"/>
          <w:insideH w:val="threeDEmboss" w:sz="18" w:space="0" w:color="FFFFFF" w:themeColor="background1"/>
          <w:insideV w:val="threeDEmboss" w:sz="18" w:space="0" w:color="FFFFFF" w:themeColor="background1"/>
        </w:tblBorders>
        <w:tblLook w:val="04A0" w:firstRow="1" w:lastRow="0" w:firstColumn="1" w:lastColumn="0" w:noHBand="0" w:noVBand="1"/>
      </w:tblPr>
      <w:tblGrid>
        <w:gridCol w:w="4470"/>
        <w:gridCol w:w="4508"/>
      </w:tblGrid>
      <w:tr w:rsidR="007D52DD" w:rsidRPr="00080CCB" w:rsidTr="001E61E6">
        <w:tc>
          <w:tcPr>
            <w:tcW w:w="8978" w:type="dxa"/>
            <w:gridSpan w:val="2"/>
            <w:shd w:val="clear" w:color="auto" w:fill="2F5496" w:themeFill="accent5" w:themeFillShade="BF"/>
            <w:vAlign w:val="center"/>
          </w:tcPr>
          <w:p w:rsidR="007D52DD" w:rsidRPr="00080CCB" w:rsidRDefault="007D52DD" w:rsidP="001E61E6">
            <w:pPr>
              <w:spacing w:before="120" w:after="120"/>
              <w:jc w:val="center"/>
              <w:rPr>
                <w:rFonts w:asciiTheme="minorHAnsi" w:hAnsiTheme="minorHAnsi" w:cs="Arial"/>
                <w:color w:val="FFFFFF" w:themeColor="background1"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color w:val="FFFFFF" w:themeColor="background1"/>
                <w:szCs w:val="22"/>
              </w:rPr>
              <w:t>ANEXOS</w:t>
            </w:r>
          </w:p>
        </w:tc>
      </w:tr>
      <w:tr w:rsidR="007D52DD" w:rsidRPr="00080CCB" w:rsidTr="001E61E6">
        <w:tc>
          <w:tcPr>
            <w:tcW w:w="8978" w:type="dxa"/>
            <w:gridSpan w:val="2"/>
            <w:shd w:val="clear" w:color="auto" w:fill="2F5496" w:themeFill="accent5" w:themeFillShade="BF"/>
            <w:vAlign w:val="center"/>
          </w:tcPr>
          <w:p w:rsidR="007D52DD" w:rsidRPr="00080CCB" w:rsidRDefault="007D52DD" w:rsidP="001E61E6">
            <w:pPr>
              <w:spacing w:before="120" w:after="120"/>
              <w:jc w:val="center"/>
              <w:rPr>
                <w:rFonts w:asciiTheme="minorHAnsi" w:hAnsiTheme="minorHAnsi" w:cs="Arial"/>
                <w:color w:val="FFFFFF" w:themeColor="background1"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color w:val="FFFFFF" w:themeColor="background1"/>
                <w:szCs w:val="22"/>
              </w:rPr>
              <w:t>ANEXO 1:</w:t>
            </w:r>
          </w:p>
        </w:tc>
      </w:tr>
      <w:tr w:rsidR="007D52DD" w:rsidRPr="00080CCB" w:rsidTr="001E61E6">
        <w:tc>
          <w:tcPr>
            <w:tcW w:w="8978" w:type="dxa"/>
            <w:gridSpan w:val="2"/>
            <w:shd w:val="clear" w:color="auto" w:fill="DBE5F1"/>
            <w:vAlign w:val="center"/>
          </w:tcPr>
          <w:p w:rsidR="007D52DD" w:rsidRPr="00080CCB" w:rsidRDefault="007D52DD" w:rsidP="001E61E6">
            <w:pPr>
              <w:spacing w:before="120" w:after="120"/>
              <w:jc w:val="center"/>
              <w:rPr>
                <w:rFonts w:asciiTheme="minorHAnsi" w:hAnsiTheme="minorHAnsi" w:cs="Arial"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SINTAXIS</w:t>
            </w:r>
          </w:p>
        </w:tc>
      </w:tr>
      <w:tr w:rsidR="007D52DD" w:rsidRPr="00080CCB" w:rsidTr="001E61E6">
        <w:tc>
          <w:tcPr>
            <w:tcW w:w="8978" w:type="dxa"/>
            <w:gridSpan w:val="2"/>
            <w:vAlign w:val="center"/>
          </w:tcPr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  <w:tr w:rsidR="007D52DD" w:rsidRPr="00080CCB" w:rsidTr="001E61E6">
        <w:tc>
          <w:tcPr>
            <w:tcW w:w="4470" w:type="dxa"/>
            <w:shd w:val="clear" w:color="auto" w:fill="DBE5F1"/>
            <w:vAlign w:val="center"/>
          </w:tcPr>
          <w:p w:rsidR="007D52DD" w:rsidRPr="00080CCB" w:rsidRDefault="007D52DD" w:rsidP="001E61E6">
            <w:pPr>
              <w:pStyle w:val="Default"/>
              <w:spacing w:before="60"/>
              <w:rPr>
                <w:rFonts w:asciiTheme="minorHAnsi" w:hAnsiTheme="minorHAnsi"/>
                <w:sz w:val="22"/>
                <w:szCs w:val="22"/>
              </w:rPr>
            </w:pPr>
            <w:r w:rsidRPr="00080CCB">
              <w:rPr>
                <w:rFonts w:asciiTheme="minorHAnsi" w:hAnsiTheme="minorHAnsi"/>
                <w:b/>
                <w:bCs/>
                <w:sz w:val="22"/>
                <w:szCs w:val="22"/>
              </w:rPr>
              <w:t>AÑO DE REFERENCIA DE LA SINTAXIS</w:t>
            </w:r>
          </w:p>
        </w:tc>
        <w:tc>
          <w:tcPr>
            <w:tcW w:w="4508" w:type="dxa"/>
            <w:vAlign w:val="center"/>
          </w:tcPr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</w:tbl>
    <w:p w:rsidR="007D52DD" w:rsidRPr="00080CCB" w:rsidRDefault="007D52DD">
      <w:pPr>
        <w:rPr>
          <w:rFonts w:asciiTheme="minorHAnsi" w:hAnsiTheme="minorHAnsi"/>
          <w:sz w:val="22"/>
          <w:szCs w:val="22"/>
        </w:rPr>
      </w:pPr>
    </w:p>
    <w:p w:rsidR="007D52DD" w:rsidRPr="00080CCB" w:rsidRDefault="007D52DD">
      <w:pPr>
        <w:rPr>
          <w:rFonts w:asciiTheme="minorHAnsi" w:hAnsiTheme="minorHAnsi"/>
          <w:sz w:val="22"/>
          <w:szCs w:val="22"/>
        </w:rPr>
      </w:pPr>
    </w:p>
    <w:p w:rsidR="00337737" w:rsidRPr="00080CCB" w:rsidRDefault="00337737" w:rsidP="00337737">
      <w:pPr>
        <w:rPr>
          <w:rFonts w:asciiTheme="minorHAnsi" w:hAnsiTheme="minorHAnsi"/>
          <w:sz w:val="22"/>
          <w:szCs w:val="22"/>
        </w:rPr>
      </w:pPr>
    </w:p>
    <w:sectPr w:rsidR="00337737" w:rsidRPr="00080CCB" w:rsidSect="00317A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701" w:bottom="1276" w:left="1701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C37" w:rsidRDefault="00E50C37" w:rsidP="007C0272">
      <w:r>
        <w:separator/>
      </w:r>
    </w:p>
  </w:endnote>
  <w:endnote w:type="continuationSeparator" w:id="0">
    <w:p w:rsidR="00E50C37" w:rsidRDefault="00E50C37" w:rsidP="007C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DD" w:rsidRDefault="00E16CD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DD" w:rsidRDefault="00E16CD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DD" w:rsidRDefault="00E16CD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C37" w:rsidRDefault="00E50C37" w:rsidP="007C0272">
      <w:r>
        <w:separator/>
      </w:r>
    </w:p>
  </w:footnote>
  <w:footnote w:type="continuationSeparator" w:id="0">
    <w:p w:rsidR="00E50C37" w:rsidRDefault="00E50C37" w:rsidP="007C0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DD" w:rsidRDefault="00E16CD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3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30"/>
      <w:gridCol w:w="927"/>
      <w:gridCol w:w="4104"/>
      <w:gridCol w:w="1612"/>
    </w:tblGrid>
    <w:tr w:rsidR="00E50C37" w:rsidRPr="004B60A7" w:rsidTr="00ED181F">
      <w:trPr>
        <w:trHeight w:val="272"/>
      </w:trPr>
      <w:tc>
        <w:tcPr>
          <w:tcW w:w="2430" w:type="dxa"/>
          <w:vMerge w:val="restart"/>
          <w:shd w:val="clear" w:color="auto" w:fill="auto"/>
        </w:tcPr>
        <w:p w:rsidR="00E50C37" w:rsidRPr="004B60A7" w:rsidRDefault="00E50C37" w:rsidP="006A39CE">
          <w:pPr>
            <w:jc w:val="center"/>
            <w:rPr>
              <w:b/>
              <w:u w:val="single"/>
            </w:rPr>
          </w:pPr>
          <w:bookmarkStart w:id="0" w:name="_GoBack" w:colFirst="3" w:colLast="3"/>
          <w:r>
            <w:rPr>
              <w:noProof/>
              <w:lang w:val="es-EC" w:eastAsia="es-EC"/>
            </w:rPr>
            <w:drawing>
              <wp:anchor distT="0" distB="0" distL="114300" distR="114300" simplePos="0" relativeHeight="251659264" behindDoc="0" locked="0" layoutInCell="1" allowOverlap="1" wp14:anchorId="65DC2669" wp14:editId="49BA7152">
                <wp:simplePos x="0" y="0"/>
                <wp:positionH relativeFrom="column">
                  <wp:posOffset>29049</wp:posOffset>
                </wp:positionH>
                <wp:positionV relativeFrom="paragraph">
                  <wp:posOffset>457200</wp:posOffset>
                </wp:positionV>
                <wp:extent cx="1304925" cy="381000"/>
                <wp:effectExtent l="0" t="0" r="9525" b="0"/>
                <wp:wrapSquare wrapText="bothSides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882" b="1428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27" w:type="dxa"/>
          <w:vMerge w:val="restart"/>
          <w:shd w:val="clear" w:color="auto" w:fill="auto"/>
          <w:vAlign w:val="center"/>
        </w:tcPr>
        <w:p w:rsidR="00E50C37" w:rsidRPr="009329F8" w:rsidRDefault="00E50C37" w:rsidP="006A39CE">
          <w:pPr>
            <w:jc w:val="center"/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FICHA METODOLÓGICA</w:t>
          </w:r>
        </w:p>
      </w:tc>
      <w:tc>
        <w:tcPr>
          <w:tcW w:w="4104" w:type="dxa"/>
          <w:shd w:val="clear" w:color="auto" w:fill="auto"/>
          <w:vAlign w:val="center"/>
        </w:tcPr>
        <w:p w:rsidR="00E50C37" w:rsidRPr="00ED181F" w:rsidRDefault="00E50C37" w:rsidP="003A430C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ED181F">
            <w:rPr>
              <w:rFonts w:ascii="Century Gothic" w:hAnsi="Century Gothic"/>
              <w:b/>
              <w:sz w:val="16"/>
            </w:rPr>
            <w:t>Nombre: Cuentas Satélite de Salud (CSS)</w:t>
          </w:r>
        </w:p>
      </w:tc>
      <w:tc>
        <w:tcPr>
          <w:tcW w:w="1612" w:type="dxa"/>
          <w:shd w:val="clear" w:color="auto" w:fill="auto"/>
          <w:vAlign w:val="center"/>
        </w:tcPr>
        <w:p w:rsidR="00E50C37" w:rsidRPr="00F75E05" w:rsidRDefault="00E50C37" w:rsidP="00E16CDD">
          <w:pPr>
            <w:tabs>
              <w:tab w:val="right" w:pos="2253"/>
            </w:tabs>
            <w:jc w:val="center"/>
            <w:rPr>
              <w:rFonts w:ascii="Century Gothic" w:hAnsi="Century Gothic"/>
              <w:sz w:val="16"/>
              <w:highlight w:val="yellow"/>
            </w:rPr>
          </w:pPr>
          <w:r w:rsidRPr="003A430C">
            <w:rPr>
              <w:rFonts w:ascii="Century Gothic" w:hAnsi="Century Gothic"/>
              <w:b/>
              <w:sz w:val="16"/>
            </w:rPr>
            <w:t>Versión</w:t>
          </w:r>
          <w:r>
            <w:rPr>
              <w:rFonts w:ascii="Century Gothic" w:hAnsi="Century Gothic"/>
              <w:b/>
              <w:sz w:val="16"/>
            </w:rPr>
            <w:t>: 1</w:t>
          </w:r>
        </w:p>
      </w:tc>
    </w:tr>
    <w:bookmarkEnd w:id="0"/>
    <w:tr w:rsidR="00E50C37" w:rsidRPr="004B60A7" w:rsidTr="00ED181F">
      <w:trPr>
        <w:trHeight w:val="276"/>
      </w:trPr>
      <w:tc>
        <w:tcPr>
          <w:tcW w:w="2430" w:type="dxa"/>
          <w:vMerge/>
          <w:shd w:val="clear" w:color="auto" w:fill="auto"/>
        </w:tcPr>
        <w:p w:rsidR="00E50C37" w:rsidRPr="00F9306E" w:rsidRDefault="00E50C37" w:rsidP="006A39CE">
          <w:pPr>
            <w:jc w:val="center"/>
            <w:rPr>
              <w:noProof/>
              <w:lang w:eastAsia="es-EC"/>
            </w:rPr>
          </w:pPr>
        </w:p>
      </w:tc>
      <w:tc>
        <w:tcPr>
          <w:tcW w:w="927" w:type="dxa"/>
          <w:vMerge/>
          <w:shd w:val="clear" w:color="auto" w:fill="auto"/>
        </w:tcPr>
        <w:p w:rsidR="00E50C37" w:rsidRPr="009329F8" w:rsidRDefault="00E50C37" w:rsidP="006A39CE">
          <w:pPr>
            <w:jc w:val="center"/>
            <w:rPr>
              <w:rFonts w:ascii="Century Gothic" w:hAnsi="Century Gothic"/>
              <w:b/>
              <w:sz w:val="16"/>
              <w:u w:val="single"/>
            </w:rPr>
          </w:pPr>
        </w:p>
      </w:tc>
      <w:tc>
        <w:tcPr>
          <w:tcW w:w="4104" w:type="dxa"/>
          <w:shd w:val="clear" w:color="auto" w:fill="auto"/>
          <w:vAlign w:val="center"/>
        </w:tcPr>
        <w:p w:rsidR="00E50C37" w:rsidRPr="00ED181F" w:rsidRDefault="00E50C37" w:rsidP="00235796">
          <w:pPr>
            <w:tabs>
              <w:tab w:val="right" w:pos="2253"/>
            </w:tabs>
            <w:spacing w:before="120"/>
            <w:rPr>
              <w:rFonts w:ascii="Century Gothic" w:hAnsi="Century Gothic"/>
              <w:sz w:val="16"/>
            </w:rPr>
          </w:pPr>
          <w:r w:rsidRPr="00ED181F">
            <w:rPr>
              <w:rFonts w:ascii="Century Gothic" w:hAnsi="Century Gothic"/>
              <w:b/>
              <w:sz w:val="16"/>
            </w:rPr>
            <w:t>SECTOR INSTITUCIONAL:</w:t>
          </w:r>
          <w:r w:rsidRPr="00ED181F">
            <w:rPr>
              <w:rFonts w:ascii="Century Gothic" w:hAnsi="Century Gothic"/>
              <w:sz w:val="16"/>
            </w:rPr>
            <w:t xml:space="preserve"> S13 Gobierno General</w:t>
          </w:r>
        </w:p>
        <w:p w:rsidR="00E50C37" w:rsidRPr="00ED181F" w:rsidRDefault="00E50C37" w:rsidP="0099143B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ED181F">
            <w:rPr>
              <w:rFonts w:ascii="Century Gothic" w:hAnsi="Century Gothic"/>
              <w:b/>
              <w:sz w:val="16"/>
            </w:rPr>
            <w:t xml:space="preserve">Nivel 2: </w:t>
          </w:r>
          <w:r w:rsidRPr="00ED181F">
            <w:rPr>
              <w:rFonts w:ascii="Century Gothic" w:hAnsi="Century Gothic"/>
              <w:sz w:val="16"/>
            </w:rPr>
            <w:t>Gobierno Central</w:t>
          </w:r>
        </w:p>
        <w:p w:rsidR="00E50C37" w:rsidRPr="00ED181F" w:rsidRDefault="00E50C37" w:rsidP="0099143B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ED181F">
            <w:rPr>
              <w:rFonts w:ascii="Century Gothic" w:hAnsi="Century Gothic"/>
              <w:b/>
              <w:sz w:val="16"/>
            </w:rPr>
            <w:t xml:space="preserve">Nivel 3: </w:t>
          </w:r>
          <w:r w:rsidRPr="00ED181F">
            <w:rPr>
              <w:rFonts w:ascii="Century Gothic" w:hAnsi="Century Gothic"/>
              <w:sz w:val="16"/>
            </w:rPr>
            <w:t>Ministerio de Salud Pública</w:t>
          </w:r>
        </w:p>
        <w:p w:rsidR="00E50C37" w:rsidRPr="00ED181F" w:rsidRDefault="00E50C37" w:rsidP="001760C9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ED181F">
            <w:rPr>
              <w:rFonts w:ascii="Century Gothic" w:hAnsi="Century Gothic"/>
              <w:b/>
              <w:sz w:val="16"/>
            </w:rPr>
            <w:t xml:space="preserve">Nivel 4: </w:t>
          </w:r>
          <w:r w:rsidRPr="00ED181F">
            <w:rPr>
              <w:rFonts w:ascii="Century Gothic" w:hAnsi="Century Gothic"/>
              <w:sz w:val="16"/>
            </w:rPr>
            <w:t>Ministerio de Salud Pública</w:t>
          </w:r>
        </w:p>
        <w:p w:rsidR="00E50C37" w:rsidRPr="00235796" w:rsidRDefault="00E50C37" w:rsidP="00235796">
          <w:pPr>
            <w:tabs>
              <w:tab w:val="right" w:pos="2253"/>
            </w:tabs>
            <w:spacing w:after="120"/>
            <w:rPr>
              <w:rFonts w:ascii="Century Gothic" w:hAnsi="Century Gothic"/>
              <w:b/>
              <w:sz w:val="16"/>
            </w:rPr>
          </w:pPr>
          <w:r w:rsidRPr="00ED181F">
            <w:rPr>
              <w:rFonts w:ascii="Century Gothic" w:hAnsi="Century Gothic"/>
              <w:b/>
              <w:sz w:val="16"/>
            </w:rPr>
            <w:t xml:space="preserve">Nivel 5: </w:t>
          </w:r>
          <w:r w:rsidRPr="00ED181F">
            <w:rPr>
              <w:rFonts w:ascii="Century Gothic" w:hAnsi="Century Gothic"/>
              <w:sz w:val="16"/>
            </w:rPr>
            <w:t>Hospitales</w:t>
          </w:r>
        </w:p>
      </w:tc>
      <w:tc>
        <w:tcPr>
          <w:tcW w:w="1612" w:type="dxa"/>
          <w:shd w:val="clear" w:color="auto" w:fill="auto"/>
          <w:vAlign w:val="center"/>
        </w:tcPr>
        <w:p w:rsidR="00E50C37" w:rsidRPr="00F75E05" w:rsidRDefault="00E50C37" w:rsidP="0099143B">
          <w:pPr>
            <w:tabs>
              <w:tab w:val="right" w:pos="2253"/>
            </w:tabs>
            <w:rPr>
              <w:rFonts w:ascii="Century Gothic" w:hAnsi="Century Gothic"/>
              <w:sz w:val="16"/>
              <w:highlight w:val="yellow"/>
            </w:rPr>
          </w:pPr>
        </w:p>
      </w:tc>
    </w:tr>
    <w:tr w:rsidR="00E50C37" w:rsidRPr="004B60A7" w:rsidTr="00A842CB">
      <w:trPr>
        <w:trHeight w:val="280"/>
      </w:trPr>
      <w:tc>
        <w:tcPr>
          <w:tcW w:w="2430" w:type="dxa"/>
          <w:vMerge/>
          <w:shd w:val="clear" w:color="auto" w:fill="auto"/>
        </w:tcPr>
        <w:p w:rsidR="00E50C37" w:rsidRPr="00F9306E" w:rsidRDefault="00E50C37" w:rsidP="006A39CE">
          <w:pPr>
            <w:jc w:val="center"/>
            <w:rPr>
              <w:noProof/>
              <w:lang w:eastAsia="es-EC"/>
            </w:rPr>
          </w:pPr>
        </w:p>
      </w:tc>
      <w:tc>
        <w:tcPr>
          <w:tcW w:w="927" w:type="dxa"/>
          <w:vMerge/>
          <w:shd w:val="clear" w:color="auto" w:fill="auto"/>
        </w:tcPr>
        <w:p w:rsidR="00E50C37" w:rsidRPr="009329F8" w:rsidRDefault="00E50C37" w:rsidP="006A39CE">
          <w:pPr>
            <w:jc w:val="center"/>
            <w:rPr>
              <w:rFonts w:ascii="Century Gothic" w:hAnsi="Century Gothic"/>
              <w:b/>
              <w:sz w:val="16"/>
              <w:u w:val="single"/>
            </w:rPr>
          </w:pPr>
        </w:p>
      </w:tc>
      <w:tc>
        <w:tcPr>
          <w:tcW w:w="4104" w:type="dxa"/>
          <w:vAlign w:val="center"/>
        </w:tcPr>
        <w:p w:rsidR="00E50C37" w:rsidRPr="009329F8" w:rsidRDefault="00E50C37" w:rsidP="009329F8">
          <w:pPr>
            <w:tabs>
              <w:tab w:val="right" w:pos="2253"/>
            </w:tabs>
            <w:rPr>
              <w:rFonts w:ascii="Century Gothic" w:hAnsi="Century Gothic"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I. Cuentas Corrientes y de Capital</w:t>
          </w:r>
          <w:r w:rsidRPr="009329F8">
            <w:rPr>
              <w:rFonts w:ascii="Century Gothic" w:hAnsi="Century Gothic"/>
              <w:sz w:val="16"/>
            </w:rPr>
            <w:t xml:space="preserve"> </w:t>
          </w:r>
        </w:p>
      </w:tc>
      <w:tc>
        <w:tcPr>
          <w:tcW w:w="1612" w:type="dxa"/>
          <w:shd w:val="clear" w:color="auto" w:fill="auto"/>
          <w:vAlign w:val="center"/>
        </w:tcPr>
        <w:p w:rsidR="00E50C37" w:rsidRPr="00D74A47" w:rsidRDefault="00E50C37" w:rsidP="00235796">
          <w:pPr>
            <w:tabs>
              <w:tab w:val="right" w:pos="2253"/>
            </w:tabs>
            <w:rPr>
              <w:rFonts w:ascii="Century Gothic" w:hAnsi="Century Gothic"/>
              <w:sz w:val="16"/>
            </w:rPr>
          </w:pPr>
          <w:r>
            <w:rPr>
              <w:rFonts w:ascii="Century Gothic" w:hAnsi="Century Gothic"/>
              <w:sz w:val="16"/>
            </w:rPr>
            <w:t xml:space="preserve">Páginas: </w:t>
          </w:r>
          <w:r w:rsidRPr="00662EE0">
            <w:rPr>
              <w:rFonts w:ascii="Century Gothic" w:hAnsi="Century Gothic"/>
              <w:sz w:val="16"/>
            </w:rPr>
            <w:fldChar w:fldCharType="begin"/>
          </w:r>
          <w:r w:rsidRPr="00662EE0">
            <w:rPr>
              <w:rFonts w:ascii="Century Gothic" w:hAnsi="Century Gothic"/>
              <w:sz w:val="16"/>
            </w:rPr>
            <w:instrText>PAGE   \* MERGEFORMAT</w:instrText>
          </w:r>
          <w:r w:rsidRPr="00662EE0">
            <w:rPr>
              <w:rFonts w:ascii="Century Gothic" w:hAnsi="Century Gothic"/>
              <w:sz w:val="16"/>
            </w:rPr>
            <w:fldChar w:fldCharType="separate"/>
          </w:r>
          <w:r w:rsidR="00E16CDD">
            <w:rPr>
              <w:rFonts w:ascii="Century Gothic" w:hAnsi="Century Gothic"/>
              <w:noProof/>
              <w:sz w:val="16"/>
            </w:rPr>
            <w:t>1</w:t>
          </w:r>
          <w:r w:rsidRPr="00662EE0">
            <w:rPr>
              <w:rFonts w:ascii="Century Gothic" w:hAnsi="Century Gothic"/>
              <w:sz w:val="16"/>
            </w:rPr>
            <w:fldChar w:fldCharType="end"/>
          </w:r>
          <w:r>
            <w:rPr>
              <w:rFonts w:ascii="Century Gothic" w:hAnsi="Century Gothic"/>
              <w:sz w:val="16"/>
            </w:rPr>
            <w:t xml:space="preserve"> de 7</w:t>
          </w:r>
          <w:r w:rsidR="00235796">
            <w:rPr>
              <w:rFonts w:ascii="Century Gothic" w:hAnsi="Century Gothic"/>
              <w:sz w:val="16"/>
            </w:rPr>
            <w:t>2</w:t>
          </w:r>
        </w:p>
      </w:tc>
    </w:tr>
  </w:tbl>
  <w:p w:rsidR="00E50C37" w:rsidRPr="007D52DD" w:rsidRDefault="00E50C37">
    <w:pPr>
      <w:pStyle w:val="Encabezado"/>
      <w:rPr>
        <w:lang w:val="es-EC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DD" w:rsidRDefault="00E16CD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24E02"/>
    <w:multiLevelType w:val="hybridMultilevel"/>
    <w:tmpl w:val="57EEA12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648B5"/>
    <w:multiLevelType w:val="hybridMultilevel"/>
    <w:tmpl w:val="FD949BCA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24998"/>
    <w:multiLevelType w:val="hybridMultilevel"/>
    <w:tmpl w:val="44585AD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B7B54"/>
    <w:multiLevelType w:val="hybridMultilevel"/>
    <w:tmpl w:val="4C944C3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D39BC"/>
    <w:multiLevelType w:val="hybridMultilevel"/>
    <w:tmpl w:val="4740EF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E2222F"/>
    <w:multiLevelType w:val="hybridMultilevel"/>
    <w:tmpl w:val="CED0A9AE"/>
    <w:lvl w:ilvl="0" w:tplc="3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C07A3"/>
    <w:multiLevelType w:val="hybridMultilevel"/>
    <w:tmpl w:val="4C828A92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6042DE"/>
    <w:multiLevelType w:val="hybridMultilevel"/>
    <w:tmpl w:val="DFA42F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362A9"/>
    <w:multiLevelType w:val="hybridMultilevel"/>
    <w:tmpl w:val="8EC46BDC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763FDC"/>
    <w:multiLevelType w:val="hybridMultilevel"/>
    <w:tmpl w:val="E90E814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3E78A3"/>
    <w:multiLevelType w:val="hybridMultilevel"/>
    <w:tmpl w:val="A930073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F9125A"/>
    <w:multiLevelType w:val="hybridMultilevel"/>
    <w:tmpl w:val="6362267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64025D"/>
    <w:multiLevelType w:val="hybridMultilevel"/>
    <w:tmpl w:val="A5A05D6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6C2EF5"/>
    <w:multiLevelType w:val="hybridMultilevel"/>
    <w:tmpl w:val="686EBDF0"/>
    <w:lvl w:ilvl="0" w:tplc="AA506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6B90FDC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6B12E8"/>
    <w:multiLevelType w:val="hybridMultilevel"/>
    <w:tmpl w:val="CB7856B4"/>
    <w:lvl w:ilvl="0" w:tplc="AA506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4218B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8D989B90">
      <w:start w:val="1"/>
      <w:numFmt w:val="decimal"/>
      <w:lvlText w:val="%4"/>
      <w:lvlJc w:val="left"/>
      <w:pPr>
        <w:ind w:left="3120" w:hanging="600"/>
      </w:pPr>
      <w:rPr>
        <w:rFonts w:hint="default"/>
      </w:r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DB4C88"/>
    <w:multiLevelType w:val="hybridMultilevel"/>
    <w:tmpl w:val="64300CF4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37285E"/>
    <w:multiLevelType w:val="hybridMultilevel"/>
    <w:tmpl w:val="7412779E"/>
    <w:lvl w:ilvl="0" w:tplc="64B25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DA6313"/>
    <w:multiLevelType w:val="hybridMultilevel"/>
    <w:tmpl w:val="2534B71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BC1084"/>
    <w:multiLevelType w:val="hybridMultilevel"/>
    <w:tmpl w:val="92D69C86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EC73BA"/>
    <w:multiLevelType w:val="hybridMultilevel"/>
    <w:tmpl w:val="10E47370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A808ED"/>
    <w:multiLevelType w:val="hybridMultilevel"/>
    <w:tmpl w:val="2FF89E6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4D4051"/>
    <w:multiLevelType w:val="hybridMultilevel"/>
    <w:tmpl w:val="434048B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13"/>
  </w:num>
  <w:num w:numId="5">
    <w:abstractNumId w:val="16"/>
  </w:num>
  <w:num w:numId="6">
    <w:abstractNumId w:val="17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  <w:num w:numId="11">
    <w:abstractNumId w:val="20"/>
  </w:num>
  <w:num w:numId="12">
    <w:abstractNumId w:val="9"/>
  </w:num>
  <w:num w:numId="13">
    <w:abstractNumId w:val="10"/>
  </w:num>
  <w:num w:numId="14">
    <w:abstractNumId w:val="0"/>
  </w:num>
  <w:num w:numId="15">
    <w:abstractNumId w:val="11"/>
  </w:num>
  <w:num w:numId="16">
    <w:abstractNumId w:val="21"/>
  </w:num>
  <w:num w:numId="17">
    <w:abstractNumId w:val="15"/>
  </w:num>
  <w:num w:numId="18">
    <w:abstractNumId w:val="1"/>
  </w:num>
  <w:num w:numId="19">
    <w:abstractNumId w:val="19"/>
  </w:num>
  <w:num w:numId="20">
    <w:abstractNumId w:val="6"/>
  </w:num>
  <w:num w:numId="21">
    <w:abstractNumId w:val="1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24F"/>
    <w:rsid w:val="000078AC"/>
    <w:rsid w:val="00054C00"/>
    <w:rsid w:val="0005695C"/>
    <w:rsid w:val="00060B02"/>
    <w:rsid w:val="00080CCB"/>
    <w:rsid w:val="00082ED1"/>
    <w:rsid w:val="0008424A"/>
    <w:rsid w:val="00092BBF"/>
    <w:rsid w:val="000A5B0A"/>
    <w:rsid w:val="000B451E"/>
    <w:rsid w:val="000B50E0"/>
    <w:rsid w:val="000C01D1"/>
    <w:rsid w:val="000C6BE0"/>
    <w:rsid w:val="000D13E5"/>
    <w:rsid w:val="000F7D81"/>
    <w:rsid w:val="00106810"/>
    <w:rsid w:val="00113CD6"/>
    <w:rsid w:val="001149C7"/>
    <w:rsid w:val="00115E80"/>
    <w:rsid w:val="00116051"/>
    <w:rsid w:val="0011624F"/>
    <w:rsid w:val="00126B61"/>
    <w:rsid w:val="00130E03"/>
    <w:rsid w:val="00133726"/>
    <w:rsid w:val="00143242"/>
    <w:rsid w:val="00147221"/>
    <w:rsid w:val="001655B9"/>
    <w:rsid w:val="00172ECB"/>
    <w:rsid w:val="00175F15"/>
    <w:rsid w:val="001760C9"/>
    <w:rsid w:val="001A5BE5"/>
    <w:rsid w:val="001B61DF"/>
    <w:rsid w:val="001C1D16"/>
    <w:rsid w:val="001D1B9D"/>
    <w:rsid w:val="001E05FF"/>
    <w:rsid w:val="001E1704"/>
    <w:rsid w:val="001E61E6"/>
    <w:rsid w:val="001E7447"/>
    <w:rsid w:val="001F7D41"/>
    <w:rsid w:val="00200BB6"/>
    <w:rsid w:val="002066A2"/>
    <w:rsid w:val="0020674E"/>
    <w:rsid w:val="0021055D"/>
    <w:rsid w:val="00220C0B"/>
    <w:rsid w:val="00231304"/>
    <w:rsid w:val="00234BF0"/>
    <w:rsid w:val="00235796"/>
    <w:rsid w:val="002407A4"/>
    <w:rsid w:val="002470ED"/>
    <w:rsid w:val="002521D1"/>
    <w:rsid w:val="00260679"/>
    <w:rsid w:val="00280C9F"/>
    <w:rsid w:val="00282270"/>
    <w:rsid w:val="0029094C"/>
    <w:rsid w:val="002A74F8"/>
    <w:rsid w:val="002B0E79"/>
    <w:rsid w:val="002B5523"/>
    <w:rsid w:val="002C328A"/>
    <w:rsid w:val="002C3797"/>
    <w:rsid w:val="002D1E3C"/>
    <w:rsid w:val="002E74FA"/>
    <w:rsid w:val="003007DB"/>
    <w:rsid w:val="00304C1A"/>
    <w:rsid w:val="00307DBD"/>
    <w:rsid w:val="0031355D"/>
    <w:rsid w:val="003158AE"/>
    <w:rsid w:val="003172DD"/>
    <w:rsid w:val="00317A7D"/>
    <w:rsid w:val="003220F3"/>
    <w:rsid w:val="003229B0"/>
    <w:rsid w:val="00326516"/>
    <w:rsid w:val="00326AF7"/>
    <w:rsid w:val="00331AF2"/>
    <w:rsid w:val="0033324C"/>
    <w:rsid w:val="00334F26"/>
    <w:rsid w:val="00337737"/>
    <w:rsid w:val="0034018B"/>
    <w:rsid w:val="00364CB1"/>
    <w:rsid w:val="003759E7"/>
    <w:rsid w:val="00381919"/>
    <w:rsid w:val="003841A1"/>
    <w:rsid w:val="00384BA7"/>
    <w:rsid w:val="00390A3A"/>
    <w:rsid w:val="003A1E53"/>
    <w:rsid w:val="003A3092"/>
    <w:rsid w:val="003A430C"/>
    <w:rsid w:val="003C2F4C"/>
    <w:rsid w:val="003C4A15"/>
    <w:rsid w:val="00405474"/>
    <w:rsid w:val="00420C88"/>
    <w:rsid w:val="0043464C"/>
    <w:rsid w:val="00435C50"/>
    <w:rsid w:val="00455041"/>
    <w:rsid w:val="004713AB"/>
    <w:rsid w:val="004724C7"/>
    <w:rsid w:val="00474BB1"/>
    <w:rsid w:val="004759AF"/>
    <w:rsid w:val="00482714"/>
    <w:rsid w:val="00496E62"/>
    <w:rsid w:val="004A1F07"/>
    <w:rsid w:val="004B0704"/>
    <w:rsid w:val="004B4029"/>
    <w:rsid w:val="004C57A3"/>
    <w:rsid w:val="004D09C9"/>
    <w:rsid w:val="004D2642"/>
    <w:rsid w:val="004D5D30"/>
    <w:rsid w:val="004D6539"/>
    <w:rsid w:val="004E302A"/>
    <w:rsid w:val="004E31D0"/>
    <w:rsid w:val="004E6558"/>
    <w:rsid w:val="00503695"/>
    <w:rsid w:val="00517F5E"/>
    <w:rsid w:val="0052601B"/>
    <w:rsid w:val="00536CE6"/>
    <w:rsid w:val="005455EC"/>
    <w:rsid w:val="00552DBA"/>
    <w:rsid w:val="00556EEC"/>
    <w:rsid w:val="0056330D"/>
    <w:rsid w:val="0059078C"/>
    <w:rsid w:val="00594B3C"/>
    <w:rsid w:val="005C3B2F"/>
    <w:rsid w:val="005C7E91"/>
    <w:rsid w:val="005D1462"/>
    <w:rsid w:val="005E3C40"/>
    <w:rsid w:val="005F52C7"/>
    <w:rsid w:val="00603C5F"/>
    <w:rsid w:val="00606170"/>
    <w:rsid w:val="00613189"/>
    <w:rsid w:val="00617CF3"/>
    <w:rsid w:val="00627F54"/>
    <w:rsid w:val="0063164A"/>
    <w:rsid w:val="00633AF0"/>
    <w:rsid w:val="0064134D"/>
    <w:rsid w:val="00662EE0"/>
    <w:rsid w:val="00690209"/>
    <w:rsid w:val="006A0385"/>
    <w:rsid w:val="006A39CE"/>
    <w:rsid w:val="006A7E9A"/>
    <w:rsid w:val="006C380F"/>
    <w:rsid w:val="006D5819"/>
    <w:rsid w:val="006E4721"/>
    <w:rsid w:val="007011C1"/>
    <w:rsid w:val="007132C2"/>
    <w:rsid w:val="007415AB"/>
    <w:rsid w:val="00745582"/>
    <w:rsid w:val="00746C3F"/>
    <w:rsid w:val="00747426"/>
    <w:rsid w:val="00757B9E"/>
    <w:rsid w:val="007734BE"/>
    <w:rsid w:val="00792D00"/>
    <w:rsid w:val="0079303F"/>
    <w:rsid w:val="007A15C7"/>
    <w:rsid w:val="007B36A2"/>
    <w:rsid w:val="007C0272"/>
    <w:rsid w:val="007D05E6"/>
    <w:rsid w:val="007D1F9A"/>
    <w:rsid w:val="007D52DD"/>
    <w:rsid w:val="0080228D"/>
    <w:rsid w:val="00811A80"/>
    <w:rsid w:val="00845F7D"/>
    <w:rsid w:val="008511E9"/>
    <w:rsid w:val="00865EB3"/>
    <w:rsid w:val="00890DD1"/>
    <w:rsid w:val="008C5E29"/>
    <w:rsid w:val="008D4B7D"/>
    <w:rsid w:val="008D5409"/>
    <w:rsid w:val="008E4A7E"/>
    <w:rsid w:val="008F29C1"/>
    <w:rsid w:val="00907CCA"/>
    <w:rsid w:val="00924F9E"/>
    <w:rsid w:val="009329F8"/>
    <w:rsid w:val="00935CAD"/>
    <w:rsid w:val="00951384"/>
    <w:rsid w:val="009523A7"/>
    <w:rsid w:val="00965ED3"/>
    <w:rsid w:val="0096637E"/>
    <w:rsid w:val="009700F1"/>
    <w:rsid w:val="00977559"/>
    <w:rsid w:val="0099143B"/>
    <w:rsid w:val="00994BB6"/>
    <w:rsid w:val="00997EC0"/>
    <w:rsid w:val="009A3DF6"/>
    <w:rsid w:val="009A4BD3"/>
    <w:rsid w:val="009B153C"/>
    <w:rsid w:val="009B2CF7"/>
    <w:rsid w:val="009B32D8"/>
    <w:rsid w:val="009B45FF"/>
    <w:rsid w:val="009C0A42"/>
    <w:rsid w:val="009C448A"/>
    <w:rsid w:val="009C7C04"/>
    <w:rsid w:val="009D294B"/>
    <w:rsid w:val="009D569B"/>
    <w:rsid w:val="009F47E1"/>
    <w:rsid w:val="009F6F68"/>
    <w:rsid w:val="00A228EE"/>
    <w:rsid w:val="00A47768"/>
    <w:rsid w:val="00A53142"/>
    <w:rsid w:val="00A842CB"/>
    <w:rsid w:val="00A91DF0"/>
    <w:rsid w:val="00A94DA6"/>
    <w:rsid w:val="00AB1C70"/>
    <w:rsid w:val="00AC1732"/>
    <w:rsid w:val="00AC7899"/>
    <w:rsid w:val="00AD5299"/>
    <w:rsid w:val="00AF088F"/>
    <w:rsid w:val="00AF3335"/>
    <w:rsid w:val="00B07A11"/>
    <w:rsid w:val="00B146DB"/>
    <w:rsid w:val="00B377BD"/>
    <w:rsid w:val="00B404A5"/>
    <w:rsid w:val="00B654D5"/>
    <w:rsid w:val="00B766FD"/>
    <w:rsid w:val="00B81B15"/>
    <w:rsid w:val="00BB08D7"/>
    <w:rsid w:val="00BB180E"/>
    <w:rsid w:val="00BB4335"/>
    <w:rsid w:val="00BB4705"/>
    <w:rsid w:val="00BD3421"/>
    <w:rsid w:val="00BF7516"/>
    <w:rsid w:val="00BF786C"/>
    <w:rsid w:val="00C17FA6"/>
    <w:rsid w:val="00C21C49"/>
    <w:rsid w:val="00C25FEC"/>
    <w:rsid w:val="00C323E0"/>
    <w:rsid w:val="00C332B3"/>
    <w:rsid w:val="00C37654"/>
    <w:rsid w:val="00C37F28"/>
    <w:rsid w:val="00C55373"/>
    <w:rsid w:val="00C555BD"/>
    <w:rsid w:val="00C55688"/>
    <w:rsid w:val="00C62662"/>
    <w:rsid w:val="00C72478"/>
    <w:rsid w:val="00C769E6"/>
    <w:rsid w:val="00C80DB2"/>
    <w:rsid w:val="00CA6AC4"/>
    <w:rsid w:val="00CC1DA9"/>
    <w:rsid w:val="00CC58C5"/>
    <w:rsid w:val="00CD0E1B"/>
    <w:rsid w:val="00CE0885"/>
    <w:rsid w:val="00D1396F"/>
    <w:rsid w:val="00D15B9F"/>
    <w:rsid w:val="00D232EC"/>
    <w:rsid w:val="00D2342C"/>
    <w:rsid w:val="00D51F26"/>
    <w:rsid w:val="00D532FA"/>
    <w:rsid w:val="00D81074"/>
    <w:rsid w:val="00D96841"/>
    <w:rsid w:val="00DA2882"/>
    <w:rsid w:val="00DE05FC"/>
    <w:rsid w:val="00DE0626"/>
    <w:rsid w:val="00DE0BFA"/>
    <w:rsid w:val="00DE71FE"/>
    <w:rsid w:val="00DE7C6B"/>
    <w:rsid w:val="00DF1A67"/>
    <w:rsid w:val="00DF3E82"/>
    <w:rsid w:val="00DF66C2"/>
    <w:rsid w:val="00DF7424"/>
    <w:rsid w:val="00E01A1A"/>
    <w:rsid w:val="00E05929"/>
    <w:rsid w:val="00E06821"/>
    <w:rsid w:val="00E07F23"/>
    <w:rsid w:val="00E11153"/>
    <w:rsid w:val="00E16229"/>
    <w:rsid w:val="00E16CDD"/>
    <w:rsid w:val="00E30EE0"/>
    <w:rsid w:val="00E4291B"/>
    <w:rsid w:val="00E43228"/>
    <w:rsid w:val="00E50C37"/>
    <w:rsid w:val="00E618AF"/>
    <w:rsid w:val="00E8548C"/>
    <w:rsid w:val="00E946C1"/>
    <w:rsid w:val="00E97D08"/>
    <w:rsid w:val="00EA4FAC"/>
    <w:rsid w:val="00EB3D0B"/>
    <w:rsid w:val="00EC16E7"/>
    <w:rsid w:val="00EC1EA9"/>
    <w:rsid w:val="00EC2135"/>
    <w:rsid w:val="00EC402C"/>
    <w:rsid w:val="00EC6B26"/>
    <w:rsid w:val="00EC7965"/>
    <w:rsid w:val="00ED181F"/>
    <w:rsid w:val="00ED1F22"/>
    <w:rsid w:val="00ED272B"/>
    <w:rsid w:val="00ED41DB"/>
    <w:rsid w:val="00F0465A"/>
    <w:rsid w:val="00F32A60"/>
    <w:rsid w:val="00F41C1B"/>
    <w:rsid w:val="00F544E3"/>
    <w:rsid w:val="00F63BC4"/>
    <w:rsid w:val="00F65A2D"/>
    <w:rsid w:val="00F74952"/>
    <w:rsid w:val="00F75E05"/>
    <w:rsid w:val="00F803F1"/>
    <w:rsid w:val="00F9354A"/>
    <w:rsid w:val="00F979E6"/>
    <w:rsid w:val="00FA0838"/>
    <w:rsid w:val="00FA7EFE"/>
    <w:rsid w:val="00FB1226"/>
    <w:rsid w:val="00FB2AD6"/>
    <w:rsid w:val="00FC2143"/>
    <w:rsid w:val="00FD16F9"/>
    <w:rsid w:val="00FD3EDC"/>
    <w:rsid w:val="00F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2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11624F"/>
    <w:pPr>
      <w:ind w:left="720"/>
    </w:pPr>
    <w:rPr>
      <w:lang w:val="es-ES_tradnl"/>
    </w:rPr>
  </w:style>
  <w:style w:type="table" w:customStyle="1" w:styleId="Tablaconcuadrcula1">
    <w:name w:val="Tabla con cuadrícula1"/>
    <w:basedOn w:val="Tablanormal"/>
    <w:uiPriority w:val="59"/>
    <w:rsid w:val="0011624F"/>
    <w:pPr>
      <w:spacing w:after="0" w:line="240" w:lineRule="auto"/>
    </w:pPr>
    <w:rPr>
      <w:rFonts w:ascii="Calibri" w:eastAsia="Calibri" w:hAnsi="Calibri" w:cs="Times New Roman"/>
      <w:lang w:eastAsia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11E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11E9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7C027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0272"/>
    <w:rPr>
      <w:rFonts w:ascii="Times New Roman" w:eastAsia="Times New Roman" w:hAnsi="Times New Roman" w:cs="Times New Roman"/>
      <w:sz w:val="24"/>
      <w:szCs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C027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0272"/>
    <w:rPr>
      <w:rFonts w:ascii="Times New Roman" w:eastAsia="Times New Roman" w:hAnsi="Times New Roman" w:cs="Times New Roman"/>
      <w:sz w:val="24"/>
      <w:szCs w:val="20"/>
      <w:lang w:val="es-ES"/>
    </w:rPr>
  </w:style>
  <w:style w:type="table" w:styleId="Tablaconcuadrcula">
    <w:name w:val="Table Grid"/>
    <w:basedOn w:val="Tablanormal"/>
    <w:uiPriority w:val="39"/>
    <w:rsid w:val="007D0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5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link w:val="Prrafodelista"/>
    <w:uiPriority w:val="34"/>
    <w:rsid w:val="00935CAD"/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080C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80CCB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80CCB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80C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80CCB"/>
    <w:rPr>
      <w:rFonts w:ascii="Times New Roman" w:eastAsia="Times New Roman" w:hAnsi="Times New Roman" w:cs="Times New Roman"/>
      <w:b/>
      <w:bCs/>
      <w:sz w:val="20"/>
      <w:szCs w:val="20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DE0BFA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690209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690209"/>
    <w:rPr>
      <w:color w:val="800080"/>
      <w:u w:val="single"/>
    </w:rPr>
  </w:style>
  <w:style w:type="paragraph" w:customStyle="1" w:styleId="xl65">
    <w:name w:val="xl65"/>
    <w:basedOn w:val="Normal"/>
    <w:rsid w:val="00690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es-EC" w:eastAsia="es-EC"/>
    </w:rPr>
  </w:style>
  <w:style w:type="paragraph" w:customStyle="1" w:styleId="xl66">
    <w:name w:val="xl66"/>
    <w:basedOn w:val="Normal"/>
    <w:rsid w:val="00690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es-EC" w:eastAsia="es-EC"/>
    </w:rPr>
  </w:style>
  <w:style w:type="paragraph" w:customStyle="1" w:styleId="xl67">
    <w:name w:val="xl67"/>
    <w:basedOn w:val="Normal"/>
    <w:rsid w:val="00690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val="es-EC" w:eastAsia="es-EC"/>
    </w:rPr>
  </w:style>
  <w:style w:type="paragraph" w:customStyle="1" w:styleId="xl68">
    <w:name w:val="xl68"/>
    <w:basedOn w:val="Normal"/>
    <w:rsid w:val="00690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val="es-EC" w:eastAsia="es-EC"/>
    </w:rPr>
  </w:style>
  <w:style w:type="paragraph" w:customStyle="1" w:styleId="xl69">
    <w:name w:val="xl69"/>
    <w:basedOn w:val="Normal"/>
    <w:rsid w:val="00690209"/>
    <w:pPr>
      <w:spacing w:before="100" w:beforeAutospacing="1" w:after="100" w:afterAutospacing="1"/>
      <w:textAlignment w:val="center"/>
    </w:pPr>
    <w:rPr>
      <w:szCs w:val="24"/>
      <w:lang w:val="es-EC" w:eastAsia="es-EC"/>
    </w:rPr>
  </w:style>
  <w:style w:type="paragraph" w:customStyle="1" w:styleId="xl70">
    <w:name w:val="xl70"/>
    <w:basedOn w:val="Normal"/>
    <w:rsid w:val="00690209"/>
    <w:pPr>
      <w:spacing w:before="100" w:beforeAutospacing="1" w:after="100" w:afterAutospacing="1"/>
      <w:textAlignment w:val="center"/>
    </w:pPr>
    <w:rPr>
      <w:szCs w:val="24"/>
      <w:lang w:val="es-EC" w:eastAsia="es-EC"/>
    </w:rPr>
  </w:style>
  <w:style w:type="paragraph" w:customStyle="1" w:styleId="xl71">
    <w:name w:val="xl71"/>
    <w:basedOn w:val="Normal"/>
    <w:rsid w:val="00690209"/>
    <w:pPr>
      <w:spacing w:before="100" w:beforeAutospacing="1" w:after="100" w:afterAutospacing="1"/>
      <w:jc w:val="center"/>
      <w:textAlignment w:val="center"/>
    </w:pPr>
    <w:rPr>
      <w:szCs w:val="24"/>
      <w:lang w:val="es-EC" w:eastAsia="es-EC"/>
    </w:rPr>
  </w:style>
  <w:style w:type="paragraph" w:customStyle="1" w:styleId="xl72">
    <w:name w:val="xl72"/>
    <w:basedOn w:val="Normal"/>
    <w:rsid w:val="000C6B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val="es-EC" w:eastAsia="es-EC"/>
    </w:rPr>
  </w:style>
  <w:style w:type="paragraph" w:customStyle="1" w:styleId="xl73">
    <w:name w:val="xl73"/>
    <w:basedOn w:val="Normal"/>
    <w:rsid w:val="000C6B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val="es-EC" w:eastAsia="es-EC"/>
    </w:rPr>
  </w:style>
  <w:style w:type="paragraph" w:customStyle="1" w:styleId="xl74">
    <w:name w:val="xl74"/>
    <w:basedOn w:val="Normal"/>
    <w:rsid w:val="000C6B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val="es-EC" w:eastAsia="es-EC"/>
    </w:rPr>
  </w:style>
  <w:style w:type="paragraph" w:customStyle="1" w:styleId="xl75">
    <w:name w:val="xl75"/>
    <w:basedOn w:val="Normal"/>
    <w:rsid w:val="000C6B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val="es-EC" w:eastAsia="es-E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1069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656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29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38F50-8628-490E-9C0A-F701CA1B9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59</Pages>
  <Words>19024</Words>
  <Characters>104636</Characters>
  <Application>Microsoft Office Word</Application>
  <DocSecurity>0</DocSecurity>
  <Lines>871</Lines>
  <Paragraphs>246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Soledad Carvajal</dc:creator>
  <cp:lastModifiedBy>mrobalino</cp:lastModifiedBy>
  <cp:revision>90</cp:revision>
  <cp:lastPrinted>2015-11-13T17:57:00Z</cp:lastPrinted>
  <dcterms:created xsi:type="dcterms:W3CDTF">2015-11-15T10:18:00Z</dcterms:created>
  <dcterms:modified xsi:type="dcterms:W3CDTF">2015-12-01T17:12:00Z</dcterms:modified>
</cp:coreProperties>
</file>